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FE4B1" w14:textId="2906D226" w:rsidR="00C11A59" w:rsidRDefault="00C11A59">
      <w:r>
        <w:rPr>
          <w:noProof/>
        </w:rPr>
        <w:drawing>
          <wp:inline distT="0" distB="0" distL="0" distR="0" wp14:anchorId="0411DF21" wp14:editId="5CED8502">
            <wp:extent cx="5710687" cy="633095"/>
            <wp:effectExtent l="0" t="0" r="0" b="0"/>
            <wp:docPr id="1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 descr="Texto&#10;&#10;El contenido generado por IA puede ser incorrecto."/>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74244" cy="640141"/>
                    </a:xfrm>
                    <a:prstGeom prst="rect">
                      <a:avLst/>
                    </a:prstGeom>
                  </pic:spPr>
                </pic:pic>
              </a:graphicData>
            </a:graphic>
          </wp:inline>
        </w:drawing>
      </w:r>
    </w:p>
    <w:p w14:paraId="4E9904B3" w14:textId="77777777" w:rsidR="00C11A59" w:rsidRPr="00C11A59" w:rsidRDefault="00C11A59" w:rsidP="00C11A59">
      <w:pPr>
        <w:spacing w:line="240" w:lineRule="auto"/>
        <w:contextualSpacing/>
        <w:jc w:val="center"/>
        <w:rPr>
          <w:b/>
          <w:i/>
        </w:rPr>
      </w:pPr>
      <w:r w:rsidRPr="00C11A59">
        <w:rPr>
          <w:b/>
          <w:i/>
        </w:rPr>
        <w:t>CENTRO DE GASTROENTEROLOGÍA DE LA CIUDAD SANITARIA “DR. LUIS E. AYBAR”</w:t>
      </w:r>
    </w:p>
    <w:p w14:paraId="568A152B" w14:textId="243073C4" w:rsidR="007E4E12" w:rsidRPr="00C11A59" w:rsidRDefault="00C11A59" w:rsidP="007E4E12">
      <w:pPr>
        <w:spacing w:line="240" w:lineRule="auto"/>
        <w:contextualSpacing/>
        <w:jc w:val="center"/>
        <w:rPr>
          <w:b/>
          <w:i/>
          <w:u w:val="single"/>
        </w:rPr>
      </w:pPr>
      <w:r w:rsidRPr="00C11A59">
        <w:rPr>
          <w:b/>
          <w:i/>
          <w:u w:val="single"/>
        </w:rPr>
        <w:t>Nivel de Cumplimiento de Acceso a la Información Pública Año 2025.</w:t>
      </w:r>
    </w:p>
    <w:tbl>
      <w:tblPr>
        <w:tblW w:w="12280" w:type="dxa"/>
        <w:tblInd w:w="-1134" w:type="dxa"/>
        <w:tblCellMar>
          <w:left w:w="70" w:type="dxa"/>
          <w:right w:w="70" w:type="dxa"/>
        </w:tblCellMar>
        <w:tblLook w:val="04A0" w:firstRow="1" w:lastRow="0" w:firstColumn="1" w:lastColumn="0" w:noHBand="0" w:noVBand="1"/>
      </w:tblPr>
      <w:tblGrid>
        <w:gridCol w:w="11206"/>
        <w:gridCol w:w="1074"/>
      </w:tblGrid>
      <w:tr w:rsidR="00C11A59" w:rsidRPr="00C11A59" w14:paraId="7DBC66D9" w14:textId="77777777" w:rsidTr="00C60A63">
        <w:trPr>
          <w:trHeight w:val="7513"/>
        </w:trPr>
        <w:tc>
          <w:tcPr>
            <w:tcW w:w="11206" w:type="dxa"/>
            <w:tcBorders>
              <w:top w:val="nil"/>
              <w:left w:val="nil"/>
              <w:bottom w:val="nil"/>
              <w:right w:val="nil"/>
            </w:tcBorders>
            <w:noWrap/>
            <w:vAlign w:val="bottom"/>
          </w:tcPr>
          <w:p w14:paraId="44F187DE" w14:textId="11985EDE" w:rsidR="00C11A59" w:rsidRDefault="00C11A59" w:rsidP="00C11A59">
            <w:pPr>
              <w:jc w:val="both"/>
            </w:pPr>
            <w:r w:rsidRPr="00C11A59">
              <w:t xml:space="preserve">La Oficina de Acceso a la Información (OAI), representa la </w:t>
            </w:r>
            <w:r>
              <w:t>transparencia activa y pasiva</w:t>
            </w:r>
            <w:r w:rsidRPr="00C11A59">
              <w:t xml:space="preserve"> más en la República Dominicana, siendo su mayor valor la protección del derecho de acceso a la información, es un mandato de la Ley General de Libre Acceso a la Información Pública Ley 200-04 y el Decreto No. 130-05 que crea el reglamento de referida ley, con el objetivo de apoyar a entidades y personas tanto públicas como privadas mediante las informaciones solicitadas.</w:t>
            </w:r>
          </w:p>
          <w:p w14:paraId="009F1373" w14:textId="7C3BDB97" w:rsidR="00C11A59" w:rsidRPr="00C11A59" w:rsidRDefault="00C11A59" w:rsidP="00C11A59">
            <w:pPr>
              <w:jc w:val="both"/>
            </w:pPr>
            <w:r w:rsidRPr="00C11A59">
              <w:t xml:space="preserve">En este Centro de Gastroenterología, </w:t>
            </w:r>
            <w:r w:rsidR="00E121D0">
              <w:t xml:space="preserve">la </w:t>
            </w:r>
            <w:r w:rsidRPr="00C11A59">
              <w:t>actualización del portal de transparencia e</w:t>
            </w:r>
            <w:r w:rsidR="00E121D0">
              <w:t>s nuestro</w:t>
            </w:r>
            <w:r w:rsidRPr="00C11A59">
              <w:t xml:space="preserve"> pilar más importante, dar respuesta oportuna a todas las solicitudes recibidas, es lo que nos caracteriza como Centro, estas solicitudes son gestionadas al área correspondiente y contestadas en un </w:t>
            </w:r>
            <w:r w:rsidRPr="00C11A59">
              <w:t>lapso</w:t>
            </w:r>
            <w:r w:rsidRPr="00C11A59">
              <w:t xml:space="preserve"> estimado; así damos cumplimiento al debido proceso que requiere la ley General de Libre Acceso a la Información Pública No. 200-04.</w:t>
            </w:r>
          </w:p>
          <w:p w14:paraId="7F07682F" w14:textId="6374316C" w:rsidR="00C11A59" w:rsidRPr="00C11A59" w:rsidRDefault="00E121D0" w:rsidP="007E4E12">
            <w:pPr>
              <w:jc w:val="both"/>
            </w:pPr>
            <w:r>
              <w:t>E</w:t>
            </w:r>
            <w:r w:rsidR="00C11A59" w:rsidRPr="00C11A59">
              <w:t>l constante monitoreo de los sistemas y el buen manejo de los documentos a través de los diferentes departamentos, es la clave que posibilita el funcionamiento de la transparencia activa, En adición a ello, tenemos el Portal Único de Solicitud de Acceso a la Información (SAIP), que administra la Dirección de Ética e Integridad Gubernamental, DIGEIG, este sistema cuenta con múltiples beneficios para los usuarios lo cual permite un mayor nivel de transparencia en el accionar de las instituciones públicas a través de su ventanilla única, permitiendo una efectiva rendición de cuentas y facilitando a la ciudadanía un mayor acceso y manejo de las informaciones públicas.</w:t>
            </w:r>
          </w:p>
          <w:p w14:paraId="5A34C530" w14:textId="44C1F17B" w:rsidR="00C11A59" w:rsidRPr="00C11A59" w:rsidRDefault="00C11A59" w:rsidP="00C11A59">
            <w:r w:rsidRPr="00C11A59">
              <w:t>Durante el periodo enero – diciembre</w:t>
            </w:r>
            <w:r>
              <w:t xml:space="preserve"> 2025,</w:t>
            </w:r>
            <w:r w:rsidRPr="00C11A59">
              <w:t xml:space="preserve"> se atendió vía el Portal Único de Solicitud de Acceso a la Información Pública SAIP, una (1) solicitud, la cual se le dio respuesta a de manera oportuna bajo los estándares establecidos. </w:t>
            </w:r>
          </w:p>
          <w:tbl>
            <w:tblPr>
              <w:tblW w:w="10017" w:type="dxa"/>
              <w:tblInd w:w="5" w:type="dxa"/>
              <w:tblCellMar>
                <w:left w:w="70" w:type="dxa"/>
                <w:right w:w="70" w:type="dxa"/>
              </w:tblCellMar>
              <w:tblLook w:val="04A0" w:firstRow="1" w:lastRow="0" w:firstColumn="1" w:lastColumn="0" w:noHBand="0" w:noVBand="1"/>
            </w:tblPr>
            <w:tblGrid>
              <w:gridCol w:w="519"/>
              <w:gridCol w:w="2435"/>
              <w:gridCol w:w="2049"/>
              <w:gridCol w:w="2185"/>
              <w:gridCol w:w="2905"/>
            </w:tblGrid>
            <w:tr w:rsidR="00C11A59" w:rsidRPr="00C11A59" w14:paraId="328FF70C" w14:textId="77777777" w:rsidTr="000523AE">
              <w:trPr>
                <w:trHeight w:val="812"/>
              </w:trPr>
              <w:tc>
                <w:tcPr>
                  <w:tcW w:w="10017" w:type="dxa"/>
                  <w:gridSpan w:val="5"/>
                  <w:tcBorders>
                    <w:top w:val="single" w:sz="4" w:space="0" w:color="auto"/>
                    <w:left w:val="single" w:sz="4" w:space="0" w:color="auto"/>
                    <w:bottom w:val="single" w:sz="4" w:space="0" w:color="auto"/>
                    <w:right w:val="single" w:sz="4" w:space="0" w:color="000000"/>
                  </w:tcBorders>
                  <w:vAlign w:val="bottom"/>
                  <w:hideMark/>
                </w:tcPr>
                <w:p w14:paraId="357DB4DB" w14:textId="7EF95555" w:rsidR="00C11A59" w:rsidRPr="00C11A59" w:rsidRDefault="00C11A59" w:rsidP="00C11A59">
                  <w:pPr>
                    <w:rPr>
                      <w:b/>
                      <w:bCs/>
                      <w:i/>
                    </w:rPr>
                  </w:pPr>
                  <w:r w:rsidRPr="00C11A59">
                    <w:rPr>
                      <w:b/>
                      <w:bCs/>
                      <w:i/>
                    </w:rPr>
                    <w:t xml:space="preserve">     Control de solicitudes (SAIP): enero – </w:t>
                  </w:r>
                  <w:r w:rsidRPr="00C11A59">
                    <w:rPr>
                      <w:b/>
                      <w:bCs/>
                      <w:i/>
                    </w:rPr>
                    <w:t>diciembre 2025</w:t>
                  </w:r>
                  <w:r w:rsidRPr="00C11A59">
                    <w:rPr>
                      <w:b/>
                      <w:bCs/>
                      <w:i/>
                    </w:rPr>
                    <w:t xml:space="preserve">.              </w:t>
                  </w:r>
                  <w:r>
                    <w:rPr>
                      <w:noProof/>
                    </w:rPr>
                    <w:drawing>
                      <wp:inline distT="0" distB="0" distL="0" distR="0" wp14:anchorId="4B532D27" wp14:editId="1D7C27B8">
                        <wp:extent cx="1512937" cy="336500"/>
                        <wp:effectExtent l="0" t="0" r="0" b="6985"/>
                        <wp:docPr id="213602696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 descr="Texto&#10;&#10;El contenido generado por IA puede ser incorrecto."/>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56062" cy="346092"/>
                                </a:xfrm>
                                <a:prstGeom prst="rect">
                                  <a:avLst/>
                                </a:prstGeom>
                              </pic:spPr>
                            </pic:pic>
                          </a:graphicData>
                        </a:graphic>
                      </wp:inline>
                    </w:drawing>
                  </w:r>
                </w:p>
              </w:tc>
            </w:tr>
            <w:tr w:rsidR="000523AE" w:rsidRPr="00C11A59" w14:paraId="2F0D7702" w14:textId="77777777" w:rsidTr="000523AE">
              <w:trPr>
                <w:trHeight w:val="316"/>
              </w:trPr>
              <w:tc>
                <w:tcPr>
                  <w:tcW w:w="507" w:type="dxa"/>
                  <w:tcBorders>
                    <w:top w:val="nil"/>
                    <w:left w:val="single" w:sz="4" w:space="0" w:color="auto"/>
                    <w:bottom w:val="single" w:sz="4" w:space="0" w:color="auto"/>
                    <w:right w:val="single" w:sz="4" w:space="0" w:color="auto"/>
                  </w:tcBorders>
                  <w:shd w:val="clear" w:color="auto" w:fill="2E75B6"/>
                  <w:noWrap/>
                  <w:vAlign w:val="bottom"/>
                  <w:hideMark/>
                </w:tcPr>
                <w:p w14:paraId="580557C2" w14:textId="77777777" w:rsidR="00C11A59" w:rsidRPr="00C11A59" w:rsidRDefault="00C11A59" w:rsidP="00C11A59">
                  <w:pPr>
                    <w:rPr>
                      <w:b/>
                      <w:bCs/>
                      <w:i/>
                    </w:rPr>
                  </w:pPr>
                  <w:r w:rsidRPr="00C11A59">
                    <w:rPr>
                      <w:b/>
                      <w:bCs/>
                      <w:i/>
                    </w:rPr>
                    <w:t xml:space="preserve">No. </w:t>
                  </w:r>
                </w:p>
              </w:tc>
              <w:tc>
                <w:tcPr>
                  <w:tcW w:w="2435" w:type="dxa"/>
                  <w:tcBorders>
                    <w:top w:val="nil"/>
                    <w:left w:val="nil"/>
                    <w:bottom w:val="single" w:sz="4" w:space="0" w:color="auto"/>
                    <w:right w:val="nil"/>
                  </w:tcBorders>
                  <w:shd w:val="clear" w:color="auto" w:fill="2E75B6"/>
                  <w:noWrap/>
                  <w:vAlign w:val="bottom"/>
                  <w:hideMark/>
                </w:tcPr>
                <w:p w14:paraId="6004837E" w14:textId="77777777" w:rsidR="00C11A59" w:rsidRPr="00C11A59" w:rsidRDefault="00C11A59" w:rsidP="00C11A59">
                  <w:pPr>
                    <w:rPr>
                      <w:b/>
                      <w:i/>
                    </w:rPr>
                  </w:pPr>
                  <w:r w:rsidRPr="00C11A59">
                    <w:rPr>
                      <w:b/>
                      <w:i/>
                    </w:rPr>
                    <w:t>No. Solicitud</w:t>
                  </w:r>
                </w:p>
              </w:tc>
              <w:tc>
                <w:tcPr>
                  <w:tcW w:w="1985" w:type="dxa"/>
                  <w:tcBorders>
                    <w:top w:val="nil"/>
                    <w:left w:val="single" w:sz="4" w:space="0" w:color="auto"/>
                    <w:bottom w:val="single" w:sz="4" w:space="0" w:color="auto"/>
                    <w:right w:val="single" w:sz="4" w:space="0" w:color="auto"/>
                  </w:tcBorders>
                  <w:shd w:val="clear" w:color="auto" w:fill="2E75B6"/>
                  <w:noWrap/>
                  <w:vAlign w:val="bottom"/>
                  <w:hideMark/>
                </w:tcPr>
                <w:p w14:paraId="283566B2" w14:textId="77777777" w:rsidR="00C11A59" w:rsidRPr="00C11A59" w:rsidRDefault="00C11A59" w:rsidP="00C11A59">
                  <w:pPr>
                    <w:rPr>
                      <w:b/>
                      <w:bCs/>
                      <w:i/>
                    </w:rPr>
                  </w:pPr>
                  <w:r w:rsidRPr="00C11A59">
                    <w:rPr>
                      <w:b/>
                      <w:bCs/>
                      <w:i/>
                    </w:rPr>
                    <w:t>Fecha de Solicitud</w:t>
                  </w:r>
                </w:p>
              </w:tc>
              <w:tc>
                <w:tcPr>
                  <w:tcW w:w="2185" w:type="dxa"/>
                  <w:tcBorders>
                    <w:top w:val="nil"/>
                    <w:left w:val="nil"/>
                    <w:bottom w:val="single" w:sz="4" w:space="0" w:color="auto"/>
                    <w:right w:val="single" w:sz="4" w:space="0" w:color="auto"/>
                  </w:tcBorders>
                  <w:shd w:val="clear" w:color="auto" w:fill="2E75B6"/>
                  <w:noWrap/>
                  <w:vAlign w:val="center"/>
                  <w:hideMark/>
                </w:tcPr>
                <w:p w14:paraId="23B1800D" w14:textId="77777777" w:rsidR="00C11A59" w:rsidRPr="00C11A59" w:rsidRDefault="00C11A59" w:rsidP="00E121D0">
                  <w:pPr>
                    <w:jc w:val="center"/>
                    <w:rPr>
                      <w:b/>
                      <w:bCs/>
                      <w:i/>
                    </w:rPr>
                  </w:pPr>
                  <w:r w:rsidRPr="00C11A59">
                    <w:rPr>
                      <w:b/>
                      <w:bCs/>
                      <w:i/>
                    </w:rPr>
                    <w:t>Información</w:t>
                  </w:r>
                </w:p>
              </w:tc>
              <w:tc>
                <w:tcPr>
                  <w:tcW w:w="2905" w:type="dxa"/>
                  <w:tcBorders>
                    <w:top w:val="nil"/>
                    <w:left w:val="nil"/>
                    <w:bottom w:val="single" w:sz="4" w:space="0" w:color="auto"/>
                    <w:right w:val="single" w:sz="4" w:space="0" w:color="auto"/>
                  </w:tcBorders>
                  <w:shd w:val="clear" w:color="auto" w:fill="2E75B6"/>
                  <w:noWrap/>
                  <w:vAlign w:val="center"/>
                  <w:hideMark/>
                </w:tcPr>
                <w:p w14:paraId="6B8A2DD7" w14:textId="77777777" w:rsidR="00C11A59" w:rsidRPr="00C11A59" w:rsidRDefault="00C11A59" w:rsidP="00E121D0">
                  <w:pPr>
                    <w:jc w:val="center"/>
                    <w:rPr>
                      <w:b/>
                      <w:bCs/>
                      <w:i/>
                    </w:rPr>
                  </w:pPr>
                  <w:r w:rsidRPr="00C11A59">
                    <w:rPr>
                      <w:b/>
                      <w:bCs/>
                      <w:i/>
                    </w:rPr>
                    <w:t>Estado</w:t>
                  </w:r>
                </w:p>
              </w:tc>
            </w:tr>
            <w:tr w:rsidR="000523AE" w:rsidRPr="00C11A59" w14:paraId="7ACDF2BE" w14:textId="77777777" w:rsidTr="007E4E12">
              <w:trPr>
                <w:trHeight w:val="841"/>
              </w:trPr>
              <w:tc>
                <w:tcPr>
                  <w:tcW w:w="507" w:type="dxa"/>
                  <w:tcBorders>
                    <w:top w:val="nil"/>
                    <w:left w:val="single" w:sz="4" w:space="0" w:color="auto"/>
                    <w:bottom w:val="single" w:sz="4" w:space="0" w:color="auto"/>
                    <w:right w:val="single" w:sz="4" w:space="0" w:color="auto"/>
                  </w:tcBorders>
                  <w:noWrap/>
                  <w:vAlign w:val="bottom"/>
                  <w:hideMark/>
                </w:tcPr>
                <w:p w14:paraId="329B62C4" w14:textId="77777777" w:rsidR="00C11A59" w:rsidRPr="00C11A59" w:rsidRDefault="00C11A59" w:rsidP="00C11A59">
                  <w:pPr>
                    <w:rPr>
                      <w:b/>
                    </w:rPr>
                  </w:pPr>
                  <w:r w:rsidRPr="00C11A59">
                    <w:rPr>
                      <w:b/>
                    </w:rPr>
                    <w:t>1</w:t>
                  </w:r>
                </w:p>
              </w:tc>
              <w:tc>
                <w:tcPr>
                  <w:tcW w:w="2435" w:type="dxa"/>
                  <w:tcBorders>
                    <w:top w:val="single" w:sz="4" w:space="0" w:color="auto"/>
                    <w:left w:val="nil"/>
                    <w:bottom w:val="single" w:sz="4" w:space="0" w:color="auto"/>
                    <w:right w:val="nil"/>
                  </w:tcBorders>
                  <w:noWrap/>
                  <w:vAlign w:val="center"/>
                  <w:hideMark/>
                </w:tcPr>
                <w:p w14:paraId="0E28C748" w14:textId="0D27ABA8" w:rsidR="00C11A59" w:rsidRPr="00E121D0" w:rsidRDefault="00C11A59" w:rsidP="00E121D0">
                  <w:pPr>
                    <w:pStyle w:val="Prrafodelista"/>
                    <w:numPr>
                      <w:ilvl w:val="0"/>
                      <w:numId w:val="4"/>
                    </w:numPr>
                    <w:rPr>
                      <w:i/>
                    </w:rPr>
                  </w:pPr>
                  <w:r w:rsidRPr="00E121D0">
                    <w:rPr>
                      <w:i/>
                    </w:rPr>
                    <w:t>SAIP-SIP-</w:t>
                  </w:r>
                  <w:r w:rsidR="00E121D0" w:rsidRPr="00E121D0">
                    <w:rPr>
                      <w:i/>
                    </w:rPr>
                    <w:t>COCB39A4</w:t>
                  </w:r>
                </w:p>
              </w:tc>
              <w:tc>
                <w:tcPr>
                  <w:tcW w:w="1985" w:type="dxa"/>
                  <w:tcBorders>
                    <w:top w:val="nil"/>
                    <w:left w:val="single" w:sz="4" w:space="0" w:color="auto"/>
                    <w:bottom w:val="single" w:sz="4" w:space="0" w:color="auto"/>
                    <w:right w:val="single" w:sz="4" w:space="0" w:color="auto"/>
                  </w:tcBorders>
                  <w:noWrap/>
                  <w:vAlign w:val="center"/>
                  <w:hideMark/>
                </w:tcPr>
                <w:p w14:paraId="4D71D2F9" w14:textId="000AA7B7" w:rsidR="00C11A59" w:rsidRPr="00E121D0" w:rsidRDefault="00E121D0" w:rsidP="00E121D0">
                  <w:pPr>
                    <w:pStyle w:val="Prrafodelista"/>
                    <w:numPr>
                      <w:ilvl w:val="0"/>
                      <w:numId w:val="3"/>
                    </w:numPr>
                    <w:rPr>
                      <w:i/>
                    </w:rPr>
                  </w:pPr>
                  <w:r w:rsidRPr="00E121D0">
                    <w:rPr>
                      <w:i/>
                    </w:rPr>
                    <w:t>14</w:t>
                  </w:r>
                  <w:r w:rsidR="00C11A59" w:rsidRPr="00E121D0">
                    <w:rPr>
                      <w:i/>
                    </w:rPr>
                    <w:t>/</w:t>
                  </w:r>
                  <w:r w:rsidRPr="00E121D0">
                    <w:rPr>
                      <w:i/>
                    </w:rPr>
                    <w:t>10</w:t>
                  </w:r>
                  <w:r w:rsidR="00C11A59" w:rsidRPr="00E121D0">
                    <w:rPr>
                      <w:i/>
                    </w:rPr>
                    <w:t>/202</w:t>
                  </w:r>
                  <w:r w:rsidRPr="00E121D0">
                    <w:rPr>
                      <w:i/>
                    </w:rPr>
                    <w:t>5</w:t>
                  </w:r>
                </w:p>
              </w:tc>
              <w:tc>
                <w:tcPr>
                  <w:tcW w:w="2185" w:type="dxa"/>
                  <w:tcBorders>
                    <w:top w:val="nil"/>
                    <w:left w:val="nil"/>
                    <w:bottom w:val="single" w:sz="4" w:space="0" w:color="auto"/>
                    <w:right w:val="single" w:sz="4" w:space="0" w:color="auto"/>
                  </w:tcBorders>
                  <w:vAlign w:val="bottom"/>
                  <w:hideMark/>
                </w:tcPr>
                <w:p w14:paraId="22B76EAE" w14:textId="7F7940CD" w:rsidR="00C11A59" w:rsidRPr="00E121D0" w:rsidRDefault="00B04C8E" w:rsidP="00E121D0">
                  <w:pPr>
                    <w:pStyle w:val="Prrafodelista"/>
                    <w:numPr>
                      <w:ilvl w:val="0"/>
                      <w:numId w:val="3"/>
                    </w:numPr>
                    <w:jc w:val="center"/>
                    <w:rPr>
                      <w:i/>
                    </w:rPr>
                  </w:pPr>
                  <w:r>
                    <w:rPr>
                      <w:i/>
                    </w:rPr>
                    <w:t>R</w:t>
                  </w:r>
                  <w:r w:rsidR="00E121D0" w:rsidRPr="00E121D0">
                    <w:rPr>
                      <w:i/>
                    </w:rPr>
                    <w:t xml:space="preserve">ecopilar información actualizada y detallada </w:t>
                  </w:r>
                  <w:r w:rsidR="00E121D0" w:rsidRPr="00E121D0">
                    <w:rPr>
                      <w:i/>
                    </w:rPr>
                    <w:lastRenderedPageBreak/>
                    <w:t>sobre los centros médicos, clínicas y hospitales del país</w:t>
                  </w:r>
                </w:p>
              </w:tc>
              <w:tc>
                <w:tcPr>
                  <w:tcW w:w="2905" w:type="dxa"/>
                  <w:tcBorders>
                    <w:top w:val="nil"/>
                    <w:left w:val="nil"/>
                    <w:bottom w:val="single" w:sz="4" w:space="0" w:color="auto"/>
                    <w:right w:val="single" w:sz="4" w:space="0" w:color="auto"/>
                  </w:tcBorders>
                  <w:vAlign w:val="bottom"/>
                  <w:hideMark/>
                </w:tcPr>
                <w:p w14:paraId="721DC2FA" w14:textId="77777777" w:rsidR="00C11A59" w:rsidRPr="00E121D0" w:rsidRDefault="00C11A59" w:rsidP="00E121D0">
                  <w:pPr>
                    <w:pStyle w:val="Prrafodelista"/>
                    <w:numPr>
                      <w:ilvl w:val="0"/>
                      <w:numId w:val="2"/>
                    </w:numPr>
                    <w:rPr>
                      <w:i/>
                    </w:rPr>
                  </w:pPr>
                  <w:r w:rsidRPr="00E121D0">
                    <w:rPr>
                      <w:i/>
                    </w:rPr>
                    <w:lastRenderedPageBreak/>
                    <w:t>Completada y disponible en el SAIP</w:t>
                  </w:r>
                </w:p>
              </w:tc>
            </w:tr>
            <w:tr w:rsidR="00C11A59" w:rsidRPr="00C11A59" w14:paraId="38DC8909" w14:textId="77777777" w:rsidTr="000523AE">
              <w:trPr>
                <w:trHeight w:val="56"/>
              </w:trPr>
              <w:tc>
                <w:tcPr>
                  <w:tcW w:w="4927" w:type="dxa"/>
                  <w:gridSpan w:val="3"/>
                  <w:tcBorders>
                    <w:top w:val="single" w:sz="4" w:space="0" w:color="auto"/>
                    <w:left w:val="single" w:sz="4" w:space="0" w:color="auto"/>
                    <w:bottom w:val="single" w:sz="4" w:space="0" w:color="auto"/>
                    <w:right w:val="single" w:sz="4" w:space="0" w:color="auto"/>
                  </w:tcBorders>
                  <w:noWrap/>
                  <w:vAlign w:val="bottom"/>
                  <w:hideMark/>
                </w:tcPr>
                <w:p w14:paraId="49E66207" w14:textId="77777777" w:rsidR="00C11A59" w:rsidRPr="00C11A59" w:rsidRDefault="00C11A59" w:rsidP="00C11A59">
                  <w:pPr>
                    <w:rPr>
                      <w:b/>
                      <w:bCs/>
                      <w:i/>
                    </w:rPr>
                  </w:pPr>
                  <w:r w:rsidRPr="00C11A59">
                    <w:rPr>
                      <w:b/>
                      <w:bCs/>
                      <w:i/>
                    </w:rPr>
                    <w:t>Total</w:t>
                  </w:r>
                </w:p>
              </w:tc>
              <w:tc>
                <w:tcPr>
                  <w:tcW w:w="5090" w:type="dxa"/>
                  <w:gridSpan w:val="2"/>
                  <w:tcBorders>
                    <w:top w:val="single" w:sz="4" w:space="0" w:color="auto"/>
                    <w:left w:val="nil"/>
                    <w:bottom w:val="single" w:sz="4" w:space="0" w:color="auto"/>
                    <w:right w:val="single" w:sz="4" w:space="0" w:color="000000"/>
                  </w:tcBorders>
                  <w:noWrap/>
                  <w:vAlign w:val="bottom"/>
                  <w:hideMark/>
                </w:tcPr>
                <w:p w14:paraId="264B7BE3" w14:textId="77777777" w:rsidR="00C11A59" w:rsidRPr="00C11A59" w:rsidRDefault="00C11A59" w:rsidP="00C11A59">
                  <w:pPr>
                    <w:rPr>
                      <w:i/>
                    </w:rPr>
                  </w:pPr>
                  <w:r w:rsidRPr="00C11A59">
                    <w:rPr>
                      <w:i/>
                    </w:rPr>
                    <w:t>1</w:t>
                  </w:r>
                </w:p>
              </w:tc>
            </w:tr>
          </w:tbl>
          <w:p w14:paraId="34D68159" w14:textId="1E174E5C" w:rsidR="00C11A59" w:rsidRDefault="00C11A59" w:rsidP="00C11A59">
            <w:pPr>
              <w:rPr>
                <w:i/>
                <w:sz w:val="6"/>
                <w:szCs w:val="6"/>
              </w:rPr>
            </w:pPr>
          </w:p>
          <w:p w14:paraId="3FD92B45" w14:textId="2B1A5284" w:rsidR="007E4E12" w:rsidRPr="00C11A59" w:rsidRDefault="007E4E12" w:rsidP="007E4E12">
            <w:pPr>
              <w:jc w:val="center"/>
              <w:rPr>
                <w:i/>
                <w:sz w:val="6"/>
                <w:szCs w:val="6"/>
              </w:rPr>
            </w:pPr>
            <w:r>
              <w:rPr>
                <w:noProof/>
              </w:rPr>
              <w:drawing>
                <wp:inline distT="0" distB="0" distL="0" distR="0" wp14:anchorId="63F7C74B" wp14:editId="2DC82E0C">
                  <wp:extent cx="5612130" cy="1682750"/>
                  <wp:effectExtent l="0" t="0" r="7620" b="12700"/>
                  <wp:docPr id="1663507414"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6A41EE38" w14:textId="77777777" w:rsidR="007E4E12" w:rsidRDefault="00C11A59" w:rsidP="00C11A59">
            <w:r w:rsidRPr="00C11A59">
              <w:t>Este bajo nivel de quejas, pocas denuncias y pocas sugerencias, obedece a que la gran mayoría de los usuarios se sienten satisfechos con el servicio brindado por nuestro Centro, en base a los estándares de calidad aplicados en la prestación de nuestros servicios.</w:t>
            </w:r>
          </w:p>
          <w:p w14:paraId="242D1291" w14:textId="16DE215A" w:rsidR="007E4E12" w:rsidRPr="00C11A59" w:rsidRDefault="007E4E12" w:rsidP="00C11A59">
            <w:pPr>
              <w:rPr>
                <w:sz w:val="14"/>
                <w:szCs w:val="14"/>
              </w:rPr>
            </w:pPr>
          </w:p>
        </w:tc>
        <w:tc>
          <w:tcPr>
            <w:tcW w:w="1074" w:type="dxa"/>
            <w:tcBorders>
              <w:top w:val="nil"/>
              <w:left w:val="nil"/>
              <w:bottom w:val="nil"/>
              <w:right w:val="nil"/>
            </w:tcBorders>
            <w:noWrap/>
            <w:vAlign w:val="bottom"/>
          </w:tcPr>
          <w:p w14:paraId="702E1958" w14:textId="77777777" w:rsidR="00C11A59" w:rsidRPr="00C11A59" w:rsidRDefault="00C11A59" w:rsidP="00C11A59">
            <w:pPr>
              <w:rPr>
                <w:i/>
              </w:rPr>
            </w:pPr>
          </w:p>
          <w:p w14:paraId="338F288D" w14:textId="77777777" w:rsidR="00C11A59" w:rsidRPr="00C11A59" w:rsidRDefault="00C11A59" w:rsidP="00C11A59">
            <w:pPr>
              <w:rPr>
                <w:i/>
              </w:rPr>
            </w:pPr>
          </w:p>
          <w:p w14:paraId="16136C23" w14:textId="77777777" w:rsidR="00C11A59" w:rsidRPr="00C11A59" w:rsidRDefault="00C11A59" w:rsidP="00C11A59">
            <w:pPr>
              <w:rPr>
                <w:i/>
              </w:rPr>
            </w:pPr>
          </w:p>
          <w:p w14:paraId="02283610" w14:textId="77777777" w:rsidR="00C11A59" w:rsidRPr="00C11A59" w:rsidRDefault="00C11A59" w:rsidP="00C11A59">
            <w:pPr>
              <w:rPr>
                <w:i/>
              </w:rPr>
            </w:pPr>
          </w:p>
          <w:p w14:paraId="5BAEB1E4" w14:textId="77777777" w:rsidR="00C11A59" w:rsidRPr="00C11A59" w:rsidRDefault="00C11A59" w:rsidP="00C11A59">
            <w:pPr>
              <w:rPr>
                <w:i/>
              </w:rPr>
            </w:pPr>
          </w:p>
          <w:p w14:paraId="57EB6CDE" w14:textId="77777777" w:rsidR="00C11A59" w:rsidRPr="00C11A59" w:rsidRDefault="00C11A59" w:rsidP="00C11A59">
            <w:pPr>
              <w:rPr>
                <w:i/>
              </w:rPr>
            </w:pPr>
          </w:p>
        </w:tc>
      </w:tr>
    </w:tbl>
    <w:p w14:paraId="76AF364C" w14:textId="5962B7FD" w:rsidR="00C11A59" w:rsidRPr="00C11A59" w:rsidRDefault="00C11A59" w:rsidP="007E4E12">
      <w:pPr>
        <w:jc w:val="both"/>
      </w:pPr>
      <w:r w:rsidRPr="00C11A59">
        <w:t xml:space="preserve">Nuestro </w:t>
      </w:r>
      <w:r w:rsidR="000523AE">
        <w:t>c</w:t>
      </w:r>
      <w:r w:rsidRPr="00C11A59">
        <w:t xml:space="preserve">entro </w:t>
      </w:r>
      <w:r w:rsidR="006872F1">
        <w:t xml:space="preserve">trabaja </w:t>
      </w:r>
      <w:r w:rsidRPr="00C11A59">
        <w:t>para ofrecer a la ciudadanía un servicio con los mejores estándares de calidad, otorgando una respuesta oportuna al ciudadano a través del sistema 311, este Sistema es una herramienta de calidad en la gestión. Durante el periodo enero - diciembre 202</w:t>
      </w:r>
      <w:r w:rsidR="006872F1">
        <w:t>5</w:t>
      </w:r>
      <w:r w:rsidRPr="00C11A59">
        <w:t xml:space="preserve">, recibimos una queja de un usuario, le llamamos, nos percatamos de cuál era su inquietud, le orientamos y le gestionamos </w:t>
      </w:r>
      <w:r w:rsidR="006872F1">
        <w:t>a través del departamento correspondiente</w:t>
      </w:r>
      <w:r w:rsidRPr="00C11A59">
        <w:t xml:space="preserve">, cerramos el caso, en cuanto a tres reclamaciones que nos llegaron por la misma vía, estas no corresponden a con los servicios que ofrecemos en el Centro, las mismas fueron declinadas. </w:t>
      </w:r>
    </w:p>
    <w:p w14:paraId="3AC30032" w14:textId="5AA947FD" w:rsidR="00C11A59" w:rsidRPr="00C11A59" w:rsidRDefault="00B04C8E" w:rsidP="00C11A59">
      <w:r>
        <w:t>El</w:t>
      </w:r>
      <w:r w:rsidR="00C11A59" w:rsidRPr="00C11A59">
        <w:t xml:space="preserve"> propósito e</w:t>
      </w:r>
      <w:r w:rsidR="006872F1">
        <w:t>s</w:t>
      </w:r>
      <w:r w:rsidR="00C11A59" w:rsidRPr="00C11A59">
        <w:t xml:space="preserve"> fomentar una cultura de participación ciudadana y transparencia, el Centro de Gastroenterología, tiene el firme objetivo de brindar una atención de calidad a través de los canales de interacción y contacto con la ciudadanía, esto nos </w:t>
      </w:r>
      <w:r w:rsidR="00C11A59" w:rsidRPr="00C11A59">
        <w:lastRenderedPageBreak/>
        <w:t xml:space="preserve">permitirá seguir dando el debido seguimiento a todas las denuncias, quejas, reclamaciones y sugerencias que se llevan a cabo por esta vía.  </w:t>
      </w:r>
    </w:p>
    <w:p w14:paraId="65EB481E" w14:textId="3237B6E3" w:rsidR="00C11A59" w:rsidRPr="00C11A59" w:rsidRDefault="00C11A59" w:rsidP="00C11A59">
      <w:r w:rsidRPr="00C11A59">
        <w:drawing>
          <wp:inline distT="0" distB="0" distL="0" distR="0" wp14:anchorId="5232EC0E" wp14:editId="3129F8BA">
            <wp:extent cx="5610225" cy="1990725"/>
            <wp:effectExtent l="0" t="0" r="9525" b="9525"/>
            <wp:docPr id="47368752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0225" cy="1990725"/>
                    </a:xfrm>
                    <a:prstGeom prst="rect">
                      <a:avLst/>
                    </a:prstGeom>
                    <a:noFill/>
                    <a:ln>
                      <a:noFill/>
                    </a:ln>
                  </pic:spPr>
                </pic:pic>
              </a:graphicData>
            </a:graphic>
          </wp:inline>
        </w:drawing>
      </w:r>
      <w:r w:rsidRPr="00C11A59">
        <w:t xml:space="preserve"> </w:t>
      </w:r>
    </w:p>
    <w:tbl>
      <w:tblPr>
        <w:tblW w:w="12145" w:type="dxa"/>
        <w:tblInd w:w="-1281" w:type="dxa"/>
        <w:tblLayout w:type="fixed"/>
        <w:tblCellMar>
          <w:left w:w="70" w:type="dxa"/>
          <w:right w:w="70" w:type="dxa"/>
        </w:tblCellMar>
        <w:tblLook w:val="04A0" w:firstRow="1" w:lastRow="0" w:firstColumn="1" w:lastColumn="0" w:noHBand="0" w:noVBand="1"/>
      </w:tblPr>
      <w:tblGrid>
        <w:gridCol w:w="1702"/>
        <w:gridCol w:w="1559"/>
        <w:gridCol w:w="1559"/>
        <w:gridCol w:w="1985"/>
        <w:gridCol w:w="1275"/>
        <w:gridCol w:w="1134"/>
        <w:gridCol w:w="851"/>
        <w:gridCol w:w="2080"/>
      </w:tblGrid>
      <w:tr w:rsidR="006872F1" w:rsidRPr="00C11A59" w14:paraId="7E0E9060" w14:textId="77777777" w:rsidTr="006872F1">
        <w:trPr>
          <w:trHeight w:val="1258"/>
        </w:trPr>
        <w:tc>
          <w:tcPr>
            <w:tcW w:w="1702" w:type="dxa"/>
            <w:tcBorders>
              <w:top w:val="single" w:sz="4" w:space="0" w:color="auto"/>
              <w:left w:val="single" w:sz="4" w:space="0" w:color="auto"/>
              <w:bottom w:val="single" w:sz="4" w:space="0" w:color="auto"/>
              <w:right w:val="single" w:sz="4" w:space="0" w:color="auto"/>
            </w:tcBorders>
            <w:shd w:val="clear" w:color="auto" w:fill="203864"/>
            <w:vAlign w:val="center"/>
            <w:hideMark/>
          </w:tcPr>
          <w:p w14:paraId="0E3A8B75" w14:textId="77777777" w:rsidR="00C11A59" w:rsidRPr="00C11A59" w:rsidRDefault="00C11A59" w:rsidP="00C11A59">
            <w:pPr>
              <w:rPr>
                <w:b/>
                <w:bCs/>
                <w:sz w:val="16"/>
                <w:szCs w:val="16"/>
              </w:rPr>
            </w:pPr>
            <w:r w:rsidRPr="00C11A59">
              <w:rPr>
                <w:b/>
                <w:bCs/>
                <w:sz w:val="16"/>
                <w:szCs w:val="16"/>
              </w:rPr>
              <w:t>Días de Respuesta</w:t>
            </w:r>
          </w:p>
        </w:tc>
        <w:tc>
          <w:tcPr>
            <w:tcW w:w="1559" w:type="dxa"/>
            <w:tcBorders>
              <w:top w:val="single" w:sz="4" w:space="0" w:color="auto"/>
              <w:left w:val="nil"/>
              <w:bottom w:val="single" w:sz="4" w:space="0" w:color="auto"/>
              <w:right w:val="single" w:sz="4" w:space="0" w:color="auto"/>
            </w:tcBorders>
            <w:shd w:val="clear" w:color="auto" w:fill="203864"/>
            <w:vAlign w:val="center"/>
            <w:hideMark/>
          </w:tcPr>
          <w:p w14:paraId="7704B1D6" w14:textId="77777777" w:rsidR="00C11A59" w:rsidRPr="00C11A59" w:rsidRDefault="00C11A59" w:rsidP="00C11A59">
            <w:pPr>
              <w:rPr>
                <w:b/>
                <w:bCs/>
                <w:sz w:val="16"/>
                <w:szCs w:val="16"/>
              </w:rPr>
            </w:pPr>
            <w:r w:rsidRPr="00C11A59">
              <w:rPr>
                <w:b/>
                <w:bCs/>
                <w:sz w:val="16"/>
                <w:szCs w:val="16"/>
              </w:rPr>
              <w:t>Tipo </w:t>
            </w:r>
          </w:p>
        </w:tc>
        <w:tc>
          <w:tcPr>
            <w:tcW w:w="1559" w:type="dxa"/>
            <w:tcBorders>
              <w:top w:val="single" w:sz="4" w:space="0" w:color="auto"/>
              <w:left w:val="nil"/>
              <w:bottom w:val="single" w:sz="4" w:space="0" w:color="auto"/>
              <w:right w:val="single" w:sz="4" w:space="0" w:color="auto"/>
            </w:tcBorders>
            <w:shd w:val="clear" w:color="auto" w:fill="203864"/>
            <w:vAlign w:val="center"/>
            <w:hideMark/>
          </w:tcPr>
          <w:p w14:paraId="0A2750A3" w14:textId="77777777" w:rsidR="00C11A59" w:rsidRPr="00C11A59" w:rsidRDefault="00C11A59" w:rsidP="00C11A59">
            <w:pPr>
              <w:rPr>
                <w:b/>
                <w:bCs/>
                <w:sz w:val="16"/>
                <w:szCs w:val="16"/>
              </w:rPr>
            </w:pPr>
            <w:r w:rsidRPr="00C11A59">
              <w:rPr>
                <w:b/>
                <w:bCs/>
                <w:sz w:val="16"/>
                <w:szCs w:val="16"/>
              </w:rPr>
              <w:t>No. de caso</w:t>
            </w:r>
          </w:p>
        </w:tc>
        <w:tc>
          <w:tcPr>
            <w:tcW w:w="1985" w:type="dxa"/>
            <w:tcBorders>
              <w:top w:val="single" w:sz="4" w:space="0" w:color="auto"/>
              <w:left w:val="nil"/>
              <w:bottom w:val="single" w:sz="4" w:space="0" w:color="auto"/>
              <w:right w:val="single" w:sz="4" w:space="0" w:color="auto"/>
            </w:tcBorders>
            <w:shd w:val="clear" w:color="auto" w:fill="203864"/>
            <w:vAlign w:val="center"/>
            <w:hideMark/>
          </w:tcPr>
          <w:p w14:paraId="214D344A" w14:textId="77777777" w:rsidR="00C11A59" w:rsidRPr="00C11A59" w:rsidRDefault="00C11A59" w:rsidP="00C11A59">
            <w:pPr>
              <w:rPr>
                <w:b/>
                <w:bCs/>
                <w:sz w:val="16"/>
                <w:szCs w:val="16"/>
              </w:rPr>
            </w:pPr>
            <w:r w:rsidRPr="00C11A59">
              <w:rPr>
                <w:b/>
                <w:bCs/>
                <w:sz w:val="16"/>
                <w:szCs w:val="16"/>
              </w:rPr>
              <w:t>Fecha de Solicitud</w:t>
            </w:r>
          </w:p>
        </w:tc>
        <w:tc>
          <w:tcPr>
            <w:tcW w:w="1275" w:type="dxa"/>
            <w:tcBorders>
              <w:top w:val="single" w:sz="4" w:space="0" w:color="auto"/>
              <w:left w:val="nil"/>
              <w:bottom w:val="single" w:sz="4" w:space="0" w:color="auto"/>
              <w:right w:val="single" w:sz="4" w:space="0" w:color="auto"/>
            </w:tcBorders>
            <w:shd w:val="clear" w:color="auto" w:fill="203864"/>
            <w:vAlign w:val="center"/>
            <w:hideMark/>
          </w:tcPr>
          <w:p w14:paraId="29DBC1C4" w14:textId="77777777" w:rsidR="00C11A59" w:rsidRPr="00C11A59" w:rsidRDefault="00C11A59" w:rsidP="00C11A59">
            <w:pPr>
              <w:rPr>
                <w:b/>
                <w:bCs/>
                <w:sz w:val="16"/>
                <w:szCs w:val="16"/>
              </w:rPr>
            </w:pPr>
            <w:r w:rsidRPr="00C11A59">
              <w:rPr>
                <w:b/>
                <w:bCs/>
                <w:sz w:val="16"/>
                <w:szCs w:val="16"/>
              </w:rPr>
              <w:t>Fecha de Respuesta</w:t>
            </w:r>
          </w:p>
        </w:tc>
        <w:tc>
          <w:tcPr>
            <w:tcW w:w="1134" w:type="dxa"/>
            <w:tcBorders>
              <w:top w:val="single" w:sz="4" w:space="0" w:color="auto"/>
              <w:left w:val="nil"/>
              <w:bottom w:val="single" w:sz="4" w:space="0" w:color="auto"/>
              <w:right w:val="single" w:sz="4" w:space="0" w:color="auto"/>
            </w:tcBorders>
            <w:shd w:val="clear" w:color="auto" w:fill="203864"/>
            <w:vAlign w:val="center"/>
            <w:hideMark/>
          </w:tcPr>
          <w:p w14:paraId="6EA54F99" w14:textId="77777777" w:rsidR="00C11A59" w:rsidRPr="00C11A59" w:rsidRDefault="00C11A59" w:rsidP="00C11A59">
            <w:pPr>
              <w:rPr>
                <w:b/>
                <w:bCs/>
                <w:sz w:val="16"/>
                <w:szCs w:val="16"/>
              </w:rPr>
            </w:pPr>
            <w:r w:rsidRPr="00C11A59">
              <w:rPr>
                <w:b/>
                <w:bCs/>
                <w:sz w:val="16"/>
                <w:szCs w:val="16"/>
              </w:rPr>
              <w:t xml:space="preserve">Tiempo de Respuesta </w:t>
            </w:r>
          </w:p>
        </w:tc>
        <w:tc>
          <w:tcPr>
            <w:tcW w:w="851" w:type="dxa"/>
            <w:tcBorders>
              <w:top w:val="single" w:sz="4" w:space="0" w:color="auto"/>
              <w:left w:val="nil"/>
              <w:bottom w:val="single" w:sz="4" w:space="0" w:color="auto"/>
              <w:right w:val="single" w:sz="4" w:space="0" w:color="auto"/>
            </w:tcBorders>
            <w:shd w:val="clear" w:color="auto" w:fill="203864"/>
            <w:vAlign w:val="center"/>
            <w:hideMark/>
          </w:tcPr>
          <w:p w14:paraId="56EB80CA" w14:textId="77777777" w:rsidR="00C11A59" w:rsidRPr="00C11A59" w:rsidRDefault="00C11A59" w:rsidP="00C11A59">
            <w:pPr>
              <w:rPr>
                <w:b/>
                <w:bCs/>
                <w:sz w:val="16"/>
                <w:szCs w:val="16"/>
              </w:rPr>
            </w:pPr>
            <w:r w:rsidRPr="00C11A59">
              <w:rPr>
                <w:b/>
                <w:bCs/>
                <w:sz w:val="16"/>
                <w:szCs w:val="16"/>
              </w:rPr>
              <w:t>Estado</w:t>
            </w:r>
          </w:p>
        </w:tc>
        <w:tc>
          <w:tcPr>
            <w:tcW w:w="2080" w:type="dxa"/>
            <w:tcBorders>
              <w:top w:val="single" w:sz="4" w:space="0" w:color="auto"/>
              <w:left w:val="nil"/>
              <w:bottom w:val="single" w:sz="4" w:space="0" w:color="auto"/>
              <w:right w:val="single" w:sz="4" w:space="0" w:color="auto"/>
            </w:tcBorders>
            <w:shd w:val="clear" w:color="auto" w:fill="203864"/>
            <w:vAlign w:val="center"/>
            <w:hideMark/>
          </w:tcPr>
          <w:p w14:paraId="23B8A7EA" w14:textId="77777777" w:rsidR="00C11A59" w:rsidRPr="00C11A59" w:rsidRDefault="00C11A59" w:rsidP="00C11A59">
            <w:pPr>
              <w:rPr>
                <w:b/>
                <w:bCs/>
                <w:sz w:val="16"/>
                <w:szCs w:val="16"/>
              </w:rPr>
            </w:pPr>
            <w:r w:rsidRPr="00C11A59">
              <w:rPr>
                <w:b/>
                <w:bCs/>
                <w:sz w:val="16"/>
                <w:szCs w:val="16"/>
              </w:rPr>
              <w:t>Vía</w:t>
            </w:r>
          </w:p>
        </w:tc>
      </w:tr>
      <w:tr w:rsidR="006872F1" w:rsidRPr="00C11A59" w14:paraId="0D98C4C2" w14:textId="77777777" w:rsidTr="002C6413">
        <w:trPr>
          <w:trHeight w:val="575"/>
        </w:trPr>
        <w:tc>
          <w:tcPr>
            <w:tcW w:w="1702" w:type="dxa"/>
            <w:tcBorders>
              <w:top w:val="nil"/>
              <w:left w:val="single" w:sz="4" w:space="0" w:color="auto"/>
              <w:bottom w:val="single" w:sz="4" w:space="0" w:color="auto"/>
              <w:right w:val="single" w:sz="4" w:space="0" w:color="auto"/>
            </w:tcBorders>
          </w:tcPr>
          <w:p w14:paraId="0FC5A0F3" w14:textId="77777777" w:rsidR="00C11A59" w:rsidRPr="00C11A59" w:rsidRDefault="00C11A59" w:rsidP="00C11A59">
            <w:pPr>
              <w:rPr>
                <w:sz w:val="16"/>
                <w:szCs w:val="16"/>
              </w:rPr>
            </w:pPr>
          </w:p>
          <w:p w14:paraId="2BBC3750" w14:textId="77777777" w:rsidR="00C11A59" w:rsidRPr="00C11A59" w:rsidRDefault="00C11A59" w:rsidP="00C11A59">
            <w:pPr>
              <w:rPr>
                <w:sz w:val="16"/>
                <w:szCs w:val="16"/>
              </w:rPr>
            </w:pPr>
            <w:r w:rsidRPr="00C11A59">
              <w:rPr>
                <w:sz w:val="16"/>
                <w:szCs w:val="16"/>
              </w:rPr>
              <w:t xml:space="preserve"> 15 días laborables</w:t>
            </w:r>
          </w:p>
        </w:tc>
        <w:tc>
          <w:tcPr>
            <w:tcW w:w="1559" w:type="dxa"/>
            <w:tcBorders>
              <w:top w:val="nil"/>
              <w:left w:val="nil"/>
              <w:bottom w:val="single" w:sz="4" w:space="0" w:color="auto"/>
              <w:right w:val="single" w:sz="4" w:space="0" w:color="auto"/>
            </w:tcBorders>
          </w:tcPr>
          <w:p w14:paraId="6EA2B1E8" w14:textId="77777777" w:rsidR="00C11A59" w:rsidRPr="00C11A59" w:rsidRDefault="00C11A59" w:rsidP="00C11A59">
            <w:pPr>
              <w:rPr>
                <w:sz w:val="16"/>
                <w:szCs w:val="16"/>
              </w:rPr>
            </w:pPr>
          </w:p>
          <w:p w14:paraId="728FF3CF" w14:textId="77777777" w:rsidR="00C11A59" w:rsidRPr="00C11A59" w:rsidRDefault="00C11A59" w:rsidP="00C11A59">
            <w:pPr>
              <w:rPr>
                <w:sz w:val="16"/>
                <w:szCs w:val="16"/>
              </w:rPr>
            </w:pPr>
            <w:r w:rsidRPr="00C11A59">
              <w:rPr>
                <w:sz w:val="16"/>
                <w:szCs w:val="16"/>
              </w:rPr>
              <w:t>Queja </w:t>
            </w:r>
          </w:p>
        </w:tc>
        <w:tc>
          <w:tcPr>
            <w:tcW w:w="1559" w:type="dxa"/>
            <w:tcBorders>
              <w:top w:val="nil"/>
              <w:left w:val="nil"/>
              <w:bottom w:val="single" w:sz="4" w:space="0" w:color="auto"/>
              <w:right w:val="single" w:sz="4" w:space="0" w:color="auto"/>
            </w:tcBorders>
          </w:tcPr>
          <w:p w14:paraId="17894702" w14:textId="77777777" w:rsidR="00C11A59" w:rsidRPr="00C11A59" w:rsidRDefault="00C11A59" w:rsidP="00C11A59">
            <w:pPr>
              <w:rPr>
                <w:sz w:val="16"/>
                <w:szCs w:val="16"/>
              </w:rPr>
            </w:pPr>
          </w:p>
          <w:p w14:paraId="2E17AC7D" w14:textId="7F8A480A" w:rsidR="00C11A59" w:rsidRPr="00C11A59" w:rsidRDefault="006872F1" w:rsidP="00C11A59">
            <w:pPr>
              <w:rPr>
                <w:sz w:val="16"/>
                <w:szCs w:val="16"/>
              </w:rPr>
            </w:pPr>
            <w:r w:rsidRPr="006872F1">
              <w:rPr>
                <w:sz w:val="16"/>
                <w:szCs w:val="16"/>
              </w:rPr>
              <w:t>Q2025081361056</w:t>
            </w:r>
            <w:r w:rsidR="00C11A59" w:rsidRPr="00C11A59">
              <w:rPr>
                <w:sz w:val="16"/>
                <w:szCs w:val="16"/>
              </w:rPr>
              <w:t> </w:t>
            </w:r>
          </w:p>
        </w:tc>
        <w:tc>
          <w:tcPr>
            <w:tcW w:w="1985" w:type="dxa"/>
            <w:tcBorders>
              <w:top w:val="nil"/>
              <w:left w:val="nil"/>
              <w:bottom w:val="single" w:sz="4" w:space="0" w:color="auto"/>
              <w:right w:val="single" w:sz="4" w:space="0" w:color="auto"/>
            </w:tcBorders>
            <w:noWrap/>
            <w:vAlign w:val="center"/>
            <w:hideMark/>
          </w:tcPr>
          <w:p w14:paraId="5D410CE7" w14:textId="08C0B589" w:rsidR="00C11A59" w:rsidRPr="00C11A59" w:rsidRDefault="006872F1" w:rsidP="00C11A59">
            <w:pPr>
              <w:rPr>
                <w:sz w:val="16"/>
                <w:szCs w:val="16"/>
              </w:rPr>
            </w:pPr>
            <w:r>
              <w:rPr>
                <w:sz w:val="16"/>
                <w:szCs w:val="16"/>
              </w:rPr>
              <w:t xml:space="preserve">13 </w:t>
            </w:r>
            <w:r w:rsidR="00C11A59" w:rsidRPr="00C11A59">
              <w:rPr>
                <w:sz w:val="16"/>
                <w:szCs w:val="16"/>
              </w:rPr>
              <w:t>de</w:t>
            </w:r>
            <w:r>
              <w:rPr>
                <w:sz w:val="16"/>
                <w:szCs w:val="16"/>
              </w:rPr>
              <w:t xml:space="preserve"> agosto</w:t>
            </w:r>
            <w:r w:rsidR="00C11A59" w:rsidRPr="00C11A59">
              <w:rPr>
                <w:sz w:val="16"/>
                <w:szCs w:val="16"/>
              </w:rPr>
              <w:t xml:space="preserve"> 202</w:t>
            </w:r>
            <w:r>
              <w:rPr>
                <w:sz w:val="16"/>
                <w:szCs w:val="16"/>
              </w:rPr>
              <w:t>5</w:t>
            </w:r>
          </w:p>
        </w:tc>
        <w:tc>
          <w:tcPr>
            <w:tcW w:w="1275" w:type="dxa"/>
            <w:tcBorders>
              <w:top w:val="nil"/>
              <w:left w:val="nil"/>
              <w:bottom w:val="single" w:sz="4" w:space="0" w:color="auto"/>
              <w:right w:val="single" w:sz="4" w:space="0" w:color="auto"/>
            </w:tcBorders>
            <w:noWrap/>
            <w:vAlign w:val="center"/>
            <w:hideMark/>
          </w:tcPr>
          <w:p w14:paraId="2398DD6D" w14:textId="663D0C95" w:rsidR="00C11A59" w:rsidRPr="00C11A59" w:rsidRDefault="00C11A59" w:rsidP="00C11A59">
            <w:pPr>
              <w:rPr>
                <w:sz w:val="16"/>
                <w:szCs w:val="16"/>
              </w:rPr>
            </w:pPr>
            <w:r w:rsidRPr="00C11A59">
              <w:rPr>
                <w:sz w:val="16"/>
                <w:szCs w:val="16"/>
              </w:rPr>
              <w:t>2</w:t>
            </w:r>
            <w:r w:rsidR="006872F1">
              <w:rPr>
                <w:sz w:val="16"/>
                <w:szCs w:val="16"/>
              </w:rPr>
              <w:t>6</w:t>
            </w:r>
            <w:r w:rsidRPr="00C11A59">
              <w:rPr>
                <w:sz w:val="16"/>
                <w:szCs w:val="16"/>
              </w:rPr>
              <w:t xml:space="preserve"> de </w:t>
            </w:r>
            <w:r w:rsidR="006872F1">
              <w:rPr>
                <w:sz w:val="16"/>
                <w:szCs w:val="16"/>
              </w:rPr>
              <w:t>agosto</w:t>
            </w:r>
            <w:r w:rsidRPr="00C11A59">
              <w:rPr>
                <w:sz w:val="16"/>
                <w:szCs w:val="16"/>
              </w:rPr>
              <w:t xml:space="preserve"> 202</w:t>
            </w:r>
            <w:r w:rsidR="006872F1">
              <w:rPr>
                <w:sz w:val="16"/>
                <w:szCs w:val="16"/>
              </w:rPr>
              <w:t>5</w:t>
            </w:r>
          </w:p>
        </w:tc>
        <w:tc>
          <w:tcPr>
            <w:tcW w:w="1134" w:type="dxa"/>
            <w:tcBorders>
              <w:top w:val="nil"/>
              <w:left w:val="nil"/>
              <w:bottom w:val="single" w:sz="4" w:space="0" w:color="auto"/>
              <w:right w:val="single" w:sz="4" w:space="0" w:color="auto"/>
            </w:tcBorders>
            <w:noWrap/>
            <w:vAlign w:val="center"/>
            <w:hideMark/>
          </w:tcPr>
          <w:p w14:paraId="3A735A77" w14:textId="77777777" w:rsidR="00C11A59" w:rsidRPr="00C11A59" w:rsidRDefault="00C11A59" w:rsidP="00C11A59">
            <w:pPr>
              <w:rPr>
                <w:sz w:val="16"/>
                <w:szCs w:val="16"/>
              </w:rPr>
            </w:pPr>
            <w:r w:rsidRPr="00C11A59">
              <w:rPr>
                <w:sz w:val="16"/>
                <w:szCs w:val="16"/>
              </w:rPr>
              <w:t>7</w:t>
            </w:r>
          </w:p>
        </w:tc>
        <w:tc>
          <w:tcPr>
            <w:tcW w:w="851" w:type="dxa"/>
            <w:tcBorders>
              <w:top w:val="nil"/>
              <w:left w:val="nil"/>
              <w:bottom w:val="single" w:sz="4" w:space="0" w:color="auto"/>
              <w:right w:val="single" w:sz="4" w:space="0" w:color="auto"/>
            </w:tcBorders>
            <w:noWrap/>
            <w:vAlign w:val="center"/>
            <w:hideMark/>
          </w:tcPr>
          <w:p w14:paraId="76626616" w14:textId="77777777" w:rsidR="00C11A59" w:rsidRPr="00C11A59" w:rsidRDefault="00C11A59" w:rsidP="00C11A59">
            <w:pPr>
              <w:rPr>
                <w:sz w:val="16"/>
                <w:szCs w:val="16"/>
              </w:rPr>
            </w:pPr>
            <w:r w:rsidRPr="00C11A59">
              <w:rPr>
                <w:sz w:val="16"/>
                <w:szCs w:val="16"/>
              </w:rPr>
              <w:t>Cerrado</w:t>
            </w:r>
          </w:p>
        </w:tc>
        <w:tc>
          <w:tcPr>
            <w:tcW w:w="2080" w:type="dxa"/>
            <w:tcBorders>
              <w:top w:val="nil"/>
              <w:left w:val="nil"/>
              <w:bottom w:val="single" w:sz="4" w:space="0" w:color="auto"/>
              <w:right w:val="single" w:sz="4" w:space="0" w:color="auto"/>
            </w:tcBorders>
            <w:noWrap/>
            <w:vAlign w:val="center"/>
            <w:hideMark/>
          </w:tcPr>
          <w:p w14:paraId="37F3588C" w14:textId="77777777" w:rsidR="00C11A59" w:rsidRPr="00C11A59" w:rsidRDefault="00C11A59" w:rsidP="00C11A59">
            <w:pPr>
              <w:rPr>
                <w:sz w:val="16"/>
                <w:szCs w:val="16"/>
              </w:rPr>
            </w:pPr>
            <w:r w:rsidRPr="00C11A59">
              <w:rPr>
                <w:sz w:val="16"/>
                <w:szCs w:val="16"/>
              </w:rPr>
              <w:t>Línea 311</w:t>
            </w:r>
          </w:p>
        </w:tc>
      </w:tr>
    </w:tbl>
    <w:p w14:paraId="37B55FFC" w14:textId="54E500F1" w:rsidR="00C11A59" w:rsidRPr="00C11A59" w:rsidRDefault="007E4E12" w:rsidP="00C11A59">
      <w:r>
        <w:rPr>
          <w:noProof/>
        </w:rPr>
        <w:drawing>
          <wp:inline distT="0" distB="0" distL="0" distR="0" wp14:anchorId="0EC9FBAE" wp14:editId="3AB8218D">
            <wp:extent cx="5612130" cy="1513840"/>
            <wp:effectExtent l="0" t="0" r="7620" b="10160"/>
            <wp:docPr id="2026165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C11A59" w:rsidRPr="00C11A59">
        <w:t xml:space="preserve"> </w:t>
      </w:r>
    </w:p>
    <w:p w14:paraId="0440742F" w14:textId="1540B5F6" w:rsidR="00C11A59" w:rsidRPr="00C11A59" w:rsidRDefault="00C11A59" w:rsidP="00B04C8E">
      <w:pPr>
        <w:jc w:val="both"/>
      </w:pPr>
      <w:r w:rsidRPr="00C11A59">
        <w:t>Hemos manejado de manera satisfactoria las estadísticas sobre las quejas, denuncias y sugerencias recibidas por el Sistema 311, con los recorridos</w:t>
      </w:r>
      <w:r w:rsidR="00B04C8E">
        <w:t xml:space="preserve"> </w:t>
      </w:r>
      <w:r w:rsidRPr="00C11A59">
        <w:t xml:space="preserve">realizados, las solicitudes de entrega oportuna y subsanación de posibles errores en los </w:t>
      </w:r>
      <w:r w:rsidR="007E4E12" w:rsidRPr="00C11A59">
        <w:t>documentos</w:t>
      </w:r>
      <w:r w:rsidRPr="00C11A59">
        <w:t xml:space="preserve"> se han gestionado en un </w:t>
      </w:r>
      <w:r w:rsidR="00C60A63">
        <w:t>99</w:t>
      </w:r>
      <w:r w:rsidRPr="00C11A59">
        <w:t xml:space="preserve"> % dentro del plazo establecido de cumplimiento.</w:t>
      </w:r>
    </w:p>
    <w:p w14:paraId="37B5F236" w14:textId="77777777" w:rsidR="00C11A59" w:rsidRPr="00C11A59" w:rsidRDefault="00C11A59" w:rsidP="00C11A59">
      <w:pPr>
        <w:rPr>
          <w:b/>
        </w:rPr>
      </w:pPr>
      <w:r w:rsidRPr="00C11A59">
        <w:rPr>
          <w:b/>
        </w:rPr>
        <w:t>MEDICIÓN DEL PORTAL DE TRANSPARENCIA</w:t>
      </w:r>
    </w:p>
    <w:p w14:paraId="2B94F9BB" w14:textId="56B30C81" w:rsidR="00C11A59" w:rsidRPr="00C11A59" w:rsidRDefault="00C11A59" w:rsidP="00C60A63">
      <w:pPr>
        <w:jc w:val="both"/>
      </w:pPr>
      <w:r w:rsidRPr="00C11A59">
        <w:t>Debido a la actualización mensual, trimestral, semestral y anual del Sub - Portal de Transparencia y con las informaciones de oficio requeridas, recibimos 1 reportes de evaluación correspondiente al mes de octubre</w:t>
      </w:r>
      <w:r w:rsidR="00B04C8E">
        <w:t xml:space="preserve"> 2025</w:t>
      </w:r>
      <w:r w:rsidRPr="00C11A59">
        <w:t xml:space="preserve">, alcanzando un índice de </w:t>
      </w:r>
      <w:r w:rsidRPr="00C11A59">
        <w:lastRenderedPageBreak/>
        <w:t xml:space="preserve">transparencia en promedio de </w:t>
      </w:r>
      <w:r w:rsidR="00B04C8E">
        <w:t>90</w:t>
      </w:r>
      <w:r w:rsidRPr="00C11A59">
        <w:t>.</w:t>
      </w:r>
      <w:r w:rsidR="00B04C8E">
        <w:t>46</w:t>
      </w:r>
      <w:r w:rsidRPr="00C11A59">
        <w:t xml:space="preserve"> puntos, según resultados de las mediciones realizadas por la Dirección General de Ética e Integridad Gubernamental.</w:t>
      </w:r>
    </w:p>
    <w:p w14:paraId="0368D2EF" w14:textId="5FDCDB3B" w:rsidR="00C11A59" w:rsidRPr="00C11A59" w:rsidRDefault="00C11A59" w:rsidP="00C60A63">
      <w:pPr>
        <w:jc w:val="both"/>
      </w:pPr>
      <w:r w:rsidRPr="00C11A59">
        <w:t xml:space="preserve">En adición a esto, podemos decir </w:t>
      </w:r>
      <w:r w:rsidR="00B04C8E" w:rsidRPr="00C11A59">
        <w:t>que,</w:t>
      </w:r>
      <w:r w:rsidRPr="00C11A59">
        <w:t xml:space="preserve"> gracias a las diferentes charlas y socializaciones, nuestros colaboradores departamentales han logrado el nivel máximo de entendimiento que se necesita para manejar los diferentes procesos ligados a transparencia.</w:t>
      </w:r>
    </w:p>
    <w:p w14:paraId="6F0E8CBE" w14:textId="4918403B" w:rsidR="00B04C8E" w:rsidRDefault="00C11A59" w:rsidP="00C60A63">
      <w:pPr>
        <w:jc w:val="both"/>
      </w:pPr>
      <w:r w:rsidRPr="00C11A59">
        <w:t xml:space="preserve">Nuestro único objetivo es mantener los estándares de calidad que demandan los portales gubernamentales, nos mantenemos enfocados en la mejora continua de los procesos, en busca del fortalecimiento de la democracia representativa, trabajando apegado a las normativas establecidas en la Constitución de la República Dominicana, </w:t>
      </w:r>
      <w:r w:rsidR="00B04C8E" w:rsidRPr="00C11A59">
        <w:t>la ley</w:t>
      </w:r>
      <w:r w:rsidRPr="00C11A59">
        <w:t xml:space="preserve"> No. 200-04 de Libre Acceso a la Información Pública y la Resolución No. 002-2021 de la DIGEIG que crea políticas de estandarización de transparencia.</w:t>
      </w:r>
    </w:p>
    <w:p w14:paraId="345B09AF" w14:textId="77777777" w:rsidR="002C6413" w:rsidRPr="00C11A59" w:rsidRDefault="002C6413" w:rsidP="00C11A59"/>
    <w:p w14:paraId="31B57AC2" w14:textId="350D829B" w:rsidR="00C11A59" w:rsidRPr="00C11A59" w:rsidRDefault="00C11A59" w:rsidP="00C11A59">
      <w:pPr>
        <w:rPr>
          <w:b/>
          <w:color w:val="C00000"/>
        </w:rPr>
      </w:pPr>
      <w:r w:rsidRPr="00C11A59">
        <w:rPr>
          <w:b/>
          <w:color w:val="C00000"/>
        </w:rPr>
        <w:t>ACTIVIDADES ADICIONALES A LAS FUNCIONES QUE OFRECE LA OFICINA DE LIBRE ACCESO A LA INFORMACIÓN PÚBLICA (OAI).</w:t>
      </w:r>
    </w:p>
    <w:p w14:paraId="1A3321D8" w14:textId="4EEEA456" w:rsidR="00C11A59" w:rsidRPr="00C11A59" w:rsidRDefault="00C11A59" w:rsidP="002C6413">
      <w:pPr>
        <w:jc w:val="center"/>
        <w:rPr>
          <w:rFonts w:cs="Times New Roman"/>
          <w:b/>
          <w:bCs/>
        </w:rPr>
      </w:pPr>
      <w:r w:rsidRPr="00C11A59">
        <w:rPr>
          <w:rFonts w:cs="Times New Roman"/>
          <w:b/>
          <w:bCs/>
        </w:rPr>
        <w:t xml:space="preserve">Para nosotros es de suma importancia formar parte de las actividades que realiza la Dirección General de Ética, el SNS y SRM, a </w:t>
      </w:r>
      <w:r w:rsidR="00B04C8E" w:rsidRPr="00C60A63">
        <w:rPr>
          <w:rFonts w:cs="Times New Roman"/>
          <w:b/>
          <w:bCs/>
        </w:rPr>
        <w:t>continuación,</w:t>
      </w:r>
      <w:r w:rsidRPr="00C11A59">
        <w:rPr>
          <w:rFonts w:cs="Times New Roman"/>
          <w:b/>
          <w:bCs/>
        </w:rPr>
        <w:t xml:space="preserve"> un resumen de </w:t>
      </w:r>
      <w:r w:rsidR="00B04C8E" w:rsidRPr="00C60A63">
        <w:rPr>
          <w:rFonts w:cs="Times New Roman"/>
          <w:b/>
          <w:bCs/>
        </w:rPr>
        <w:t>las actividades</w:t>
      </w:r>
      <w:r w:rsidRPr="00C11A59">
        <w:rPr>
          <w:rFonts w:cs="Times New Roman"/>
          <w:b/>
          <w:bCs/>
        </w:rPr>
        <w:t xml:space="preserve"> más importantes durante el año 202</w:t>
      </w:r>
      <w:r w:rsidR="00B04C8E" w:rsidRPr="00C60A63">
        <w:rPr>
          <w:rFonts w:cs="Times New Roman"/>
          <w:b/>
          <w:bCs/>
        </w:rPr>
        <w:t>5</w:t>
      </w:r>
      <w:r w:rsidRPr="00C11A59">
        <w:rPr>
          <w:rFonts w:cs="Times New Roman"/>
          <w:b/>
          <w:bCs/>
        </w:rPr>
        <w:t>:</w:t>
      </w:r>
    </w:p>
    <w:p w14:paraId="561D159B" w14:textId="6D9D826F" w:rsidR="00C11A59" w:rsidRPr="00C11A59" w:rsidRDefault="00C11A59" w:rsidP="00C11A59">
      <w:pPr>
        <w:sectPr w:rsidR="00C11A59" w:rsidRPr="00C11A59" w:rsidSect="00C11A59">
          <w:pgSz w:w="12240" w:h="15840"/>
          <w:pgMar w:top="1417" w:right="1701" w:bottom="1417" w:left="1701" w:header="720" w:footer="720" w:gutter="0"/>
          <w:cols w:space="720"/>
          <w:docGrid w:type="lines" w:linePitch="360"/>
        </w:sectPr>
      </w:pPr>
    </w:p>
    <w:p w14:paraId="07D83DFE" w14:textId="43ADFFE0" w:rsidR="0031646E" w:rsidRDefault="00C11A59" w:rsidP="00C60A63">
      <w:pPr>
        <w:numPr>
          <w:ilvl w:val="0"/>
          <w:numId w:val="1"/>
        </w:numPr>
        <w:jc w:val="both"/>
      </w:pPr>
      <w:r w:rsidRPr="00C11A59">
        <w:t xml:space="preserve">Estuvimos en </w:t>
      </w:r>
      <w:r w:rsidR="0031646E" w:rsidRPr="0031646E">
        <w:t>la capacitación sobre el uso del nuevo </w:t>
      </w:r>
      <w:r w:rsidR="0031646E" w:rsidRPr="0031646E">
        <w:rPr>
          <w:b/>
          <w:bCs/>
        </w:rPr>
        <w:t>portal de Solicitud de Acceso a la Información Pública (SAIP)</w:t>
      </w:r>
      <w:r w:rsidR="0031646E" w:rsidRPr="0031646E">
        <w:t>, un espacio de aprendizaje y actualización sobre temas claves para el servicio público.</w:t>
      </w:r>
    </w:p>
    <w:p w14:paraId="611C32BC" w14:textId="11817C2D" w:rsidR="0031646E" w:rsidRDefault="002C6413" w:rsidP="00C60A63">
      <w:pPr>
        <w:pStyle w:val="Prrafodelista"/>
        <w:numPr>
          <w:ilvl w:val="0"/>
          <w:numId w:val="1"/>
        </w:numPr>
        <w:shd w:val="clear" w:color="auto" w:fill="FFFFFF"/>
        <w:spacing w:after="0" w:line="240" w:lineRule="auto"/>
        <w:jc w:val="both"/>
        <w:textAlignment w:val="baseline"/>
        <w:rPr>
          <w:rFonts w:ascii="Aptos" w:eastAsia="Times New Roman" w:hAnsi="Aptos" w:cs="Times New Roman"/>
          <w:color w:val="242424"/>
          <w:kern w:val="0"/>
          <w:lang w:eastAsia="es-DO"/>
          <w14:ligatures w14:val="none"/>
        </w:rPr>
      </w:pPr>
      <w:r>
        <w:rPr>
          <w:rFonts w:ascii="Aptos" w:eastAsia="Times New Roman" w:hAnsi="Aptos" w:cs="Times New Roman"/>
          <w:color w:val="242424"/>
          <w:kern w:val="0"/>
          <w:bdr w:val="none" w:sz="0" w:space="0" w:color="auto" w:frame="1"/>
          <w:shd w:val="clear" w:color="auto" w:fill="FFFFFF"/>
          <w:lang w:eastAsia="es-DO"/>
          <w14:ligatures w14:val="none"/>
        </w:rPr>
        <w:t xml:space="preserve">En la </w:t>
      </w:r>
      <w:r w:rsidR="0031646E" w:rsidRPr="0031646E">
        <w:rPr>
          <w:rFonts w:ascii="Aptos" w:eastAsia="Times New Roman" w:hAnsi="Aptos" w:cs="Times New Roman"/>
          <w:color w:val="242424"/>
          <w:kern w:val="0"/>
          <w:lang w:eastAsia="es-DO"/>
          <w14:ligatures w14:val="none"/>
        </w:rPr>
        <w:t>"</w:t>
      </w:r>
      <w:r w:rsidR="0031646E" w:rsidRPr="0031646E">
        <w:rPr>
          <w:rFonts w:ascii="Aptos" w:eastAsia="Times New Roman" w:hAnsi="Aptos" w:cs="Times New Roman"/>
          <w:b/>
          <w:bCs/>
          <w:color w:val="242424"/>
          <w:kern w:val="0"/>
          <w:lang w:eastAsia="es-DO"/>
          <w14:ligatures w14:val="none"/>
        </w:rPr>
        <w:t>Capacitación en la Ley 200-04 y la resolución 002-2021 de la Dirección General de Ética e integridad Gubernamental DIGEIG, dirigida a servidores públicos</w:t>
      </w:r>
      <w:r w:rsidR="0031646E" w:rsidRPr="0031646E">
        <w:rPr>
          <w:rFonts w:ascii="Aptos" w:eastAsia="Times New Roman" w:hAnsi="Aptos" w:cs="Times New Roman"/>
          <w:color w:val="242424"/>
          <w:kern w:val="0"/>
          <w:lang w:eastAsia="es-DO"/>
          <w14:ligatures w14:val="none"/>
        </w:rPr>
        <w:t>.". </w:t>
      </w:r>
    </w:p>
    <w:p w14:paraId="2D5D9C97" w14:textId="02DC69ED" w:rsidR="002C6413" w:rsidRPr="002C6413" w:rsidRDefault="002C6413" w:rsidP="00C60A63">
      <w:pPr>
        <w:pStyle w:val="Prrafodelista"/>
        <w:numPr>
          <w:ilvl w:val="0"/>
          <w:numId w:val="1"/>
        </w:numPr>
        <w:shd w:val="clear" w:color="auto" w:fill="FFFFFF"/>
        <w:spacing w:after="0" w:line="240" w:lineRule="auto"/>
        <w:jc w:val="both"/>
        <w:textAlignment w:val="baseline"/>
        <w:rPr>
          <w:rFonts w:ascii="Aptos" w:eastAsia="Times New Roman" w:hAnsi="Aptos" w:cs="Times New Roman"/>
          <w:color w:val="242424"/>
          <w:kern w:val="0"/>
          <w:lang w:eastAsia="es-DO"/>
          <w14:ligatures w14:val="none"/>
        </w:rPr>
      </w:pPr>
      <w:r>
        <w:rPr>
          <w:rFonts w:ascii="Aptos" w:eastAsia="Times New Roman" w:hAnsi="Aptos" w:cs="Times New Roman"/>
          <w:color w:val="242424"/>
          <w:kern w:val="0"/>
          <w:lang w:eastAsia="es-DO"/>
          <w14:ligatures w14:val="none"/>
        </w:rPr>
        <w:t>Charla Carta compromiso al ciudadano</w:t>
      </w:r>
    </w:p>
    <w:p w14:paraId="11D34B30" w14:textId="77777777" w:rsidR="0031646E" w:rsidRPr="0031646E" w:rsidRDefault="0031646E" w:rsidP="00C60A63">
      <w:pPr>
        <w:pStyle w:val="Prrafodelista"/>
        <w:shd w:val="clear" w:color="auto" w:fill="FFFFFF"/>
        <w:spacing w:after="0" w:line="240" w:lineRule="auto"/>
        <w:ind w:left="420"/>
        <w:jc w:val="both"/>
        <w:textAlignment w:val="baseline"/>
        <w:rPr>
          <w:rFonts w:ascii="Aptos" w:eastAsia="Times New Roman" w:hAnsi="Aptos" w:cs="Times New Roman"/>
          <w:color w:val="242424"/>
          <w:kern w:val="0"/>
          <w:lang w:eastAsia="es-DO"/>
          <w14:ligatures w14:val="none"/>
        </w:rPr>
      </w:pPr>
    </w:p>
    <w:p w14:paraId="58151FA2" w14:textId="77777777" w:rsidR="0031646E" w:rsidRDefault="0031646E" w:rsidP="0031646E"/>
    <w:p w14:paraId="0B681F72" w14:textId="5CD868A3" w:rsidR="0031646E" w:rsidRDefault="002C6413" w:rsidP="002C6413">
      <w:pPr>
        <w:ind w:left="420"/>
      </w:pPr>
      <w:r>
        <w:rPr>
          <w:noProof/>
        </w:rPr>
        <w:lastRenderedPageBreak/>
        <w:drawing>
          <wp:inline distT="0" distB="0" distL="0" distR="0" wp14:anchorId="0E1BC5A1" wp14:editId="796A58C0">
            <wp:extent cx="5493715" cy="1462899"/>
            <wp:effectExtent l="0" t="0" r="0" b="4445"/>
            <wp:docPr id="1641146910" name="Imagen 1" descr="Una captura de pantalla de una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146910" name="Imagen 1" descr="Una captura de pantalla de una computadora&#10;&#10;El contenido generado por IA puede ser incorrecto."/>
                    <pic:cNvPicPr/>
                  </pic:nvPicPr>
                  <pic:blipFill rotWithShape="1">
                    <a:blip r:embed="rId9"/>
                    <a:srcRect l="25677" t="13215" r="25566" b="12594"/>
                    <a:stretch>
                      <a:fillRect/>
                    </a:stretch>
                  </pic:blipFill>
                  <pic:spPr bwMode="auto">
                    <a:xfrm>
                      <a:off x="0" y="0"/>
                      <a:ext cx="5572822" cy="1483964"/>
                    </a:xfrm>
                    <a:prstGeom prst="rect">
                      <a:avLst/>
                    </a:prstGeom>
                    <a:ln>
                      <a:noFill/>
                    </a:ln>
                    <a:extLst>
                      <a:ext uri="{53640926-AAD7-44D8-BBD7-CCE9431645EC}">
                        <a14:shadowObscured xmlns:a14="http://schemas.microsoft.com/office/drawing/2010/main"/>
                      </a:ext>
                    </a:extLst>
                  </pic:spPr>
                </pic:pic>
              </a:graphicData>
            </a:graphic>
          </wp:inline>
        </w:drawing>
      </w:r>
    </w:p>
    <w:p w14:paraId="5742F0DF" w14:textId="0FA5C1AA" w:rsidR="0031646E" w:rsidRDefault="0031646E" w:rsidP="00C60A63">
      <w:pPr>
        <w:pStyle w:val="Prrafodelista"/>
        <w:numPr>
          <w:ilvl w:val="0"/>
          <w:numId w:val="1"/>
        </w:numPr>
        <w:shd w:val="clear" w:color="auto" w:fill="FFFFFF"/>
        <w:spacing w:after="0" w:line="240" w:lineRule="auto"/>
        <w:jc w:val="both"/>
        <w:textAlignment w:val="baseline"/>
        <w:rPr>
          <w:rFonts w:ascii="Aptos" w:eastAsia="Times New Roman" w:hAnsi="Aptos" w:cs="Times New Roman"/>
          <w:color w:val="000000"/>
          <w:kern w:val="0"/>
          <w:lang w:eastAsia="es-DO"/>
          <w14:ligatures w14:val="none"/>
        </w:rPr>
      </w:pPr>
      <w:r w:rsidRPr="0031646E">
        <w:rPr>
          <w:rFonts w:ascii="Aptos" w:eastAsia="Times New Roman" w:hAnsi="Aptos" w:cs="Times New Roman"/>
          <w:color w:val="000000"/>
          <w:kern w:val="0"/>
          <w:lang w:eastAsia="es-DO"/>
          <w14:ligatures w14:val="none"/>
        </w:rPr>
        <w:t xml:space="preserve">Charla Régimen Ético y Disciplinario de los Servidores Públicos, la cual </w:t>
      </w:r>
      <w:r w:rsidR="002C6413">
        <w:rPr>
          <w:rFonts w:ascii="Aptos" w:eastAsia="Times New Roman" w:hAnsi="Aptos" w:cs="Times New Roman"/>
          <w:color w:val="000000"/>
          <w:kern w:val="0"/>
          <w:lang w:eastAsia="es-DO"/>
          <w14:ligatures w14:val="none"/>
        </w:rPr>
        <w:t>fue</w:t>
      </w:r>
      <w:r w:rsidRPr="0031646E">
        <w:rPr>
          <w:rFonts w:ascii="Aptos" w:eastAsia="Times New Roman" w:hAnsi="Aptos" w:cs="Times New Roman"/>
          <w:color w:val="000000"/>
          <w:kern w:val="0"/>
          <w:lang w:eastAsia="es-DO"/>
          <w14:ligatures w14:val="none"/>
        </w:rPr>
        <w:t xml:space="preserve"> impartida el miércoles, 2 de julio</w:t>
      </w:r>
      <w:r w:rsidR="002C6413">
        <w:rPr>
          <w:rFonts w:ascii="Aptos" w:eastAsia="Times New Roman" w:hAnsi="Aptos" w:cs="Times New Roman"/>
          <w:color w:val="000000"/>
          <w:kern w:val="0"/>
          <w:lang w:eastAsia="es-DO"/>
          <w14:ligatures w14:val="none"/>
        </w:rPr>
        <w:t xml:space="preserve"> 2025</w:t>
      </w:r>
      <w:r w:rsidRPr="0031646E">
        <w:rPr>
          <w:rFonts w:ascii="Aptos" w:eastAsia="Times New Roman" w:hAnsi="Aptos" w:cs="Times New Roman"/>
          <w:color w:val="000000"/>
          <w:kern w:val="0"/>
          <w:lang w:eastAsia="es-DO"/>
          <w14:ligatures w14:val="none"/>
        </w:rPr>
        <w:t>, esta charla</w:t>
      </w:r>
      <w:r w:rsidR="002C6413">
        <w:rPr>
          <w:rFonts w:ascii="Aptos" w:eastAsia="Times New Roman" w:hAnsi="Aptos" w:cs="Times New Roman"/>
          <w:color w:val="000000"/>
          <w:kern w:val="0"/>
          <w:lang w:eastAsia="es-DO"/>
          <w14:ligatures w14:val="none"/>
        </w:rPr>
        <w:t xml:space="preserve"> </w:t>
      </w:r>
      <w:r w:rsidR="00C60A63" w:rsidRPr="0031646E">
        <w:rPr>
          <w:rFonts w:ascii="Aptos" w:eastAsia="Times New Roman" w:hAnsi="Aptos" w:cs="Times New Roman"/>
          <w:color w:val="000000"/>
          <w:kern w:val="0"/>
          <w:lang w:eastAsia="es-DO"/>
          <w14:ligatures w14:val="none"/>
        </w:rPr>
        <w:t>est</w:t>
      </w:r>
      <w:r w:rsidR="00C60A63">
        <w:rPr>
          <w:rFonts w:ascii="Aptos" w:eastAsia="Times New Roman" w:hAnsi="Aptos" w:cs="Times New Roman"/>
          <w:color w:val="000000"/>
          <w:kern w:val="0"/>
          <w:lang w:eastAsia="es-DO"/>
          <w14:ligatures w14:val="none"/>
        </w:rPr>
        <w:t>uvo</w:t>
      </w:r>
      <w:r w:rsidRPr="0031646E">
        <w:rPr>
          <w:rFonts w:ascii="Aptos" w:eastAsia="Times New Roman" w:hAnsi="Aptos" w:cs="Times New Roman"/>
          <w:color w:val="000000"/>
          <w:kern w:val="0"/>
          <w:lang w:eastAsia="es-DO"/>
          <w14:ligatures w14:val="none"/>
        </w:rPr>
        <w:t xml:space="preserve"> dirigida para el personal de la Oficina de Acceso a la </w:t>
      </w:r>
      <w:r w:rsidR="002C6413" w:rsidRPr="0031646E">
        <w:rPr>
          <w:rFonts w:ascii="Aptos" w:eastAsia="Times New Roman" w:hAnsi="Aptos" w:cs="Times New Roman"/>
          <w:color w:val="000000"/>
          <w:kern w:val="0"/>
          <w:lang w:eastAsia="es-DO"/>
          <w14:ligatures w14:val="none"/>
        </w:rPr>
        <w:t>información</w:t>
      </w:r>
      <w:r w:rsidRPr="0031646E">
        <w:rPr>
          <w:rFonts w:ascii="Aptos" w:eastAsia="Times New Roman" w:hAnsi="Aptos" w:cs="Times New Roman"/>
          <w:color w:val="000000"/>
          <w:kern w:val="0"/>
          <w:lang w:eastAsia="es-DO"/>
          <w14:ligatures w14:val="none"/>
        </w:rPr>
        <w:t xml:space="preserve"> de los Servicios Regionales de Salud y hospitales de la red pública</w:t>
      </w:r>
    </w:p>
    <w:p w14:paraId="5C112FFB" w14:textId="77777777" w:rsidR="0031646E" w:rsidRPr="0031646E" w:rsidRDefault="0031646E" w:rsidP="00C60A63">
      <w:pPr>
        <w:pStyle w:val="Prrafodelista"/>
        <w:shd w:val="clear" w:color="auto" w:fill="FFFFFF"/>
        <w:spacing w:after="0" w:line="240" w:lineRule="auto"/>
        <w:ind w:left="420"/>
        <w:jc w:val="both"/>
        <w:textAlignment w:val="baseline"/>
        <w:rPr>
          <w:rFonts w:ascii="Aptos" w:eastAsia="Times New Roman" w:hAnsi="Aptos" w:cs="Times New Roman"/>
          <w:color w:val="000000"/>
          <w:kern w:val="0"/>
          <w:lang w:eastAsia="es-DO"/>
          <w14:ligatures w14:val="none"/>
        </w:rPr>
      </w:pPr>
    </w:p>
    <w:p w14:paraId="3489C046" w14:textId="7D45F099" w:rsidR="002C6413" w:rsidRDefault="002C6413" w:rsidP="00C60A63">
      <w:pPr>
        <w:numPr>
          <w:ilvl w:val="0"/>
          <w:numId w:val="1"/>
        </w:numPr>
        <w:jc w:val="both"/>
      </w:pPr>
      <w:r>
        <w:t>Socialización y novedades en la ley 47-2025</w:t>
      </w:r>
    </w:p>
    <w:p w14:paraId="5665C658" w14:textId="28DC7C66" w:rsidR="0031646E" w:rsidRDefault="0031646E" w:rsidP="002C6413">
      <w:pPr>
        <w:ind w:left="420"/>
      </w:pPr>
      <w:r>
        <w:rPr>
          <w:noProof/>
        </w:rPr>
        <w:drawing>
          <wp:inline distT="0" distB="0" distL="0" distR="0" wp14:anchorId="2943665B" wp14:editId="3EA0A688">
            <wp:extent cx="5258144" cy="2216506"/>
            <wp:effectExtent l="0" t="0" r="0" b="0"/>
            <wp:docPr id="1108940535" name="Imagen 1" descr="Una captura de pantalla de una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940535" name="Imagen 1" descr="Una captura de pantalla de una computadora&#10;&#10;El contenido generado por IA puede ser incorrecto."/>
                    <pic:cNvPicPr/>
                  </pic:nvPicPr>
                  <pic:blipFill rotWithShape="1">
                    <a:blip r:embed="rId10"/>
                    <a:srcRect l="32456" t="12983" r="32865" b="14205"/>
                    <a:stretch>
                      <a:fillRect/>
                    </a:stretch>
                  </pic:blipFill>
                  <pic:spPr bwMode="auto">
                    <a:xfrm>
                      <a:off x="0" y="0"/>
                      <a:ext cx="5309597" cy="2238195"/>
                    </a:xfrm>
                    <a:prstGeom prst="rect">
                      <a:avLst/>
                    </a:prstGeom>
                    <a:ln>
                      <a:noFill/>
                    </a:ln>
                    <a:extLst>
                      <a:ext uri="{53640926-AAD7-44D8-BBD7-CCE9431645EC}">
                        <a14:shadowObscured xmlns:a14="http://schemas.microsoft.com/office/drawing/2010/main"/>
                      </a:ext>
                    </a:extLst>
                  </pic:spPr>
                </pic:pic>
              </a:graphicData>
            </a:graphic>
          </wp:inline>
        </w:drawing>
      </w:r>
    </w:p>
    <w:p w14:paraId="09DA1141" w14:textId="77777777" w:rsidR="00C60A63" w:rsidRDefault="002C6413" w:rsidP="00C11A59">
      <w:pPr>
        <w:numPr>
          <w:ilvl w:val="0"/>
          <w:numId w:val="1"/>
        </w:numPr>
      </w:pPr>
      <w:r>
        <w:t xml:space="preserve"> </w:t>
      </w:r>
      <w:r w:rsidRPr="00C60A63">
        <w:rPr>
          <w:b/>
          <w:bCs/>
        </w:rPr>
        <w:t xml:space="preserve">En la </w:t>
      </w:r>
      <w:r w:rsidRPr="00C60A63">
        <w:rPr>
          <w:b/>
          <w:bCs/>
        </w:rPr>
        <w:t xml:space="preserve">jornada de </w:t>
      </w:r>
      <w:r w:rsidRPr="00C60A63">
        <w:rPr>
          <w:b/>
          <w:bCs/>
        </w:rPr>
        <w:t xml:space="preserve">orientación </w:t>
      </w:r>
      <w:r w:rsidRPr="00C60A63">
        <w:rPr>
          <w:b/>
          <w:bCs/>
        </w:rPr>
        <w:t>educando a los RAI</w:t>
      </w:r>
      <w:r w:rsidRPr="00C60A63">
        <w:rPr>
          <w:b/>
          <w:bCs/>
        </w:rPr>
        <w:t>:</w:t>
      </w:r>
      <w:r w:rsidRPr="0031646E">
        <w:t xml:space="preserve"> </w:t>
      </w:r>
      <w:r>
        <w:t xml:space="preserve">por parte de </w:t>
      </w:r>
      <w:r w:rsidRPr="0031646E">
        <w:t>La</w:t>
      </w:r>
      <w:r w:rsidR="0031646E" w:rsidRPr="0031646E">
        <w:t xml:space="preserve"> Dirección</w:t>
      </w:r>
      <w:r w:rsidR="00C60A63">
        <w:t xml:space="preserve"> General de Ética</w:t>
      </w:r>
      <w:r w:rsidR="0031646E" w:rsidRPr="0031646E">
        <w:t xml:space="preserve"> </w:t>
      </w:r>
      <w:r w:rsidR="0031646E" w:rsidRPr="0031646E">
        <w:rPr>
          <w:rFonts w:ascii="Segoe UI Emoji" w:hAnsi="Segoe UI Emoji" w:cs="Segoe UI Emoji"/>
        </w:rPr>
        <w:t>💻</w:t>
      </w:r>
      <w:r w:rsidR="0031646E" w:rsidRPr="0031646E">
        <w:t xml:space="preserve"> </w:t>
      </w:r>
    </w:p>
    <w:p w14:paraId="02C5E09E" w14:textId="0DB8E947" w:rsidR="0031646E" w:rsidRPr="0031646E" w:rsidRDefault="0031646E" w:rsidP="00C60A63">
      <w:pPr>
        <w:ind w:left="420"/>
      </w:pPr>
      <w:r>
        <w:rPr>
          <w:noProof/>
        </w:rPr>
        <w:drawing>
          <wp:inline distT="0" distB="0" distL="0" distR="0" wp14:anchorId="7BDA8F01" wp14:editId="0D875D5A">
            <wp:extent cx="5274259" cy="1279525"/>
            <wp:effectExtent l="0" t="0" r="3175" b="0"/>
            <wp:docPr id="16589905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990524" name=""/>
                    <pic:cNvPicPr/>
                  </pic:nvPicPr>
                  <pic:blipFill rotWithShape="1">
                    <a:blip r:embed="rId11"/>
                    <a:srcRect l="5001" t="11739" r="4956" b="12186"/>
                    <a:stretch>
                      <a:fillRect/>
                    </a:stretch>
                  </pic:blipFill>
                  <pic:spPr bwMode="auto">
                    <a:xfrm>
                      <a:off x="0" y="0"/>
                      <a:ext cx="5284638" cy="1282043"/>
                    </a:xfrm>
                    <a:prstGeom prst="rect">
                      <a:avLst/>
                    </a:prstGeom>
                    <a:ln>
                      <a:noFill/>
                    </a:ln>
                    <a:extLst>
                      <a:ext uri="{53640926-AAD7-44D8-BBD7-CCE9431645EC}">
                        <a14:shadowObscured xmlns:a14="http://schemas.microsoft.com/office/drawing/2010/main"/>
                      </a:ext>
                    </a:extLst>
                  </pic:spPr>
                </pic:pic>
              </a:graphicData>
            </a:graphic>
          </wp:inline>
        </w:drawing>
      </w:r>
    </w:p>
    <w:p w14:paraId="230F016A" w14:textId="77777777" w:rsidR="0031646E" w:rsidRDefault="0031646E" w:rsidP="0031646E">
      <w:pPr>
        <w:pStyle w:val="Prrafodelista"/>
      </w:pPr>
    </w:p>
    <w:p w14:paraId="015E8B34" w14:textId="68353F03" w:rsidR="0031646E" w:rsidRPr="00C60A63" w:rsidRDefault="00C60A63" w:rsidP="0031646E">
      <w:pPr>
        <w:pStyle w:val="Prrafodelista"/>
        <w:numPr>
          <w:ilvl w:val="0"/>
          <w:numId w:val="1"/>
        </w:numPr>
        <w:spacing w:after="0" w:line="240" w:lineRule="auto"/>
        <w:rPr>
          <w:rFonts w:ascii="Times New Roman" w:eastAsia="Times New Roman" w:hAnsi="Times New Roman" w:cs="Times New Roman"/>
          <w:kern w:val="0"/>
          <w:lang w:eastAsia="es-DO"/>
          <w14:ligatures w14:val="none"/>
        </w:rPr>
      </w:pPr>
      <w:r>
        <w:rPr>
          <w:rFonts w:ascii="Aptos" w:eastAsia="Times New Roman" w:hAnsi="Aptos" w:cs="Times New Roman"/>
          <w:color w:val="000000"/>
          <w:kern w:val="0"/>
          <w:lang w:eastAsia="es-DO"/>
          <w14:ligatures w14:val="none"/>
        </w:rPr>
        <w:t>Participamos</w:t>
      </w:r>
      <w:r w:rsidR="0031646E" w:rsidRPr="0031646E">
        <w:rPr>
          <w:rFonts w:ascii="Aptos" w:eastAsia="Times New Roman" w:hAnsi="Aptos" w:cs="Times New Roman"/>
          <w:color w:val="000000"/>
          <w:kern w:val="0"/>
          <w:lang w:eastAsia="es-DO"/>
          <w14:ligatures w14:val="none"/>
        </w:rPr>
        <w:t xml:space="preserve"> en el </w:t>
      </w:r>
      <w:proofErr w:type="spellStart"/>
      <w:r w:rsidR="0031646E" w:rsidRPr="0031646E">
        <w:rPr>
          <w:rFonts w:ascii="Aptos" w:eastAsia="Times New Roman" w:hAnsi="Aptos" w:cs="Times New Roman"/>
          <w:color w:val="000000"/>
          <w:kern w:val="0"/>
          <w:lang w:eastAsia="es-DO"/>
          <w14:ligatures w14:val="none"/>
        </w:rPr>
        <w:t>Benchlearning</w:t>
      </w:r>
      <w:proofErr w:type="spellEnd"/>
      <w:r w:rsidR="0031646E" w:rsidRPr="0031646E">
        <w:rPr>
          <w:rFonts w:ascii="Aptos" w:eastAsia="Times New Roman" w:hAnsi="Aptos" w:cs="Times New Roman"/>
          <w:color w:val="000000"/>
          <w:kern w:val="0"/>
          <w:lang w:eastAsia="es-DO"/>
          <w14:ligatures w14:val="none"/>
        </w:rPr>
        <w:t xml:space="preserve"> del MAP, referente a Carta Compromiso.</w:t>
      </w:r>
    </w:p>
    <w:p w14:paraId="2EED6B52" w14:textId="0B5D1EA6" w:rsidR="00C60A63" w:rsidRDefault="00C60A63" w:rsidP="00C11A59">
      <w:pPr>
        <w:pStyle w:val="Prrafodelista"/>
        <w:numPr>
          <w:ilvl w:val="0"/>
          <w:numId w:val="1"/>
        </w:numPr>
      </w:pPr>
      <w:r>
        <w:lastRenderedPageBreak/>
        <w:t>Concluimos el año con la semana del Derecho a Saber</w:t>
      </w:r>
    </w:p>
    <w:p w14:paraId="03E3E7F6" w14:textId="10E4A728" w:rsidR="002C6413" w:rsidRDefault="002C6413" w:rsidP="00C11A59">
      <w:r>
        <w:rPr>
          <w:noProof/>
        </w:rPr>
        <w:drawing>
          <wp:inline distT="0" distB="0" distL="0" distR="0" wp14:anchorId="2F8EF4AF" wp14:editId="7944BDA2">
            <wp:extent cx="5718739" cy="2743200"/>
            <wp:effectExtent l="0" t="0" r="0" b="0"/>
            <wp:docPr id="718795619"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795619" name="Imagen 1" descr="Interfaz de usuario gráfica, Texto, Aplicación&#10;&#10;El contenido generado por IA puede ser incorrecto."/>
                    <pic:cNvPicPr/>
                  </pic:nvPicPr>
                  <pic:blipFill rotWithShape="1">
                    <a:blip r:embed="rId12"/>
                    <a:srcRect l="32195" t="13450" r="33388" b="11431"/>
                    <a:stretch>
                      <a:fillRect/>
                    </a:stretch>
                  </pic:blipFill>
                  <pic:spPr bwMode="auto">
                    <a:xfrm>
                      <a:off x="0" y="0"/>
                      <a:ext cx="5770644" cy="2768098"/>
                    </a:xfrm>
                    <a:prstGeom prst="rect">
                      <a:avLst/>
                    </a:prstGeom>
                    <a:ln>
                      <a:noFill/>
                    </a:ln>
                    <a:extLst>
                      <a:ext uri="{53640926-AAD7-44D8-BBD7-CCE9431645EC}">
                        <a14:shadowObscured xmlns:a14="http://schemas.microsoft.com/office/drawing/2010/main"/>
                      </a:ext>
                    </a:extLst>
                  </pic:spPr>
                </pic:pic>
              </a:graphicData>
            </a:graphic>
          </wp:inline>
        </w:drawing>
      </w:r>
    </w:p>
    <w:p w14:paraId="19E49F61" w14:textId="77777777" w:rsidR="00C60A63" w:rsidRDefault="00C60A63" w:rsidP="00C11A59">
      <w:pPr>
        <w:rPr>
          <w:noProof/>
        </w:rPr>
      </w:pPr>
    </w:p>
    <w:p w14:paraId="1E64B8F3" w14:textId="77777777" w:rsidR="002C6413" w:rsidRDefault="002C6413" w:rsidP="00C11A59">
      <w:r>
        <w:rPr>
          <w:noProof/>
        </w:rPr>
        <w:drawing>
          <wp:inline distT="0" distB="0" distL="0" distR="0" wp14:anchorId="3B60499B" wp14:editId="566A03B6">
            <wp:extent cx="5684520" cy="2562045"/>
            <wp:effectExtent l="0" t="0" r="0" b="0"/>
            <wp:docPr id="556592169"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592169" name="Imagen 1" descr="Interfaz de usuario gráfica&#10;&#10;El contenido generado por IA puede ser incorrecto."/>
                    <pic:cNvPicPr/>
                  </pic:nvPicPr>
                  <pic:blipFill rotWithShape="1">
                    <a:blip r:embed="rId13"/>
                    <a:srcRect l="34020" t="17859" r="35596" b="11888"/>
                    <a:stretch>
                      <a:fillRect/>
                    </a:stretch>
                  </pic:blipFill>
                  <pic:spPr bwMode="auto">
                    <a:xfrm>
                      <a:off x="0" y="0"/>
                      <a:ext cx="5803881" cy="2615842"/>
                    </a:xfrm>
                    <a:prstGeom prst="rect">
                      <a:avLst/>
                    </a:prstGeom>
                    <a:ln>
                      <a:noFill/>
                    </a:ln>
                    <a:extLst>
                      <a:ext uri="{53640926-AAD7-44D8-BBD7-CCE9431645EC}">
                        <a14:shadowObscured xmlns:a14="http://schemas.microsoft.com/office/drawing/2010/main"/>
                      </a:ext>
                    </a:extLst>
                  </pic:spPr>
                </pic:pic>
              </a:graphicData>
            </a:graphic>
          </wp:inline>
        </w:drawing>
      </w:r>
    </w:p>
    <w:p w14:paraId="4ACAF5CA" w14:textId="77777777" w:rsidR="00C60A63" w:rsidRDefault="00C60A63" w:rsidP="00C11A59"/>
    <w:p w14:paraId="786BC900" w14:textId="77777777" w:rsidR="00C60A63" w:rsidRDefault="00C60A63" w:rsidP="00C11A59"/>
    <w:p w14:paraId="78CDC90E" w14:textId="77777777" w:rsidR="00C60A63" w:rsidRPr="00C11A59" w:rsidRDefault="00C60A63" w:rsidP="00C60A63">
      <w:pPr>
        <w:spacing w:line="240" w:lineRule="auto"/>
        <w:contextualSpacing/>
      </w:pPr>
      <w:r w:rsidRPr="00C11A59">
        <w:rPr>
          <w:b/>
          <w:u w:val="single"/>
        </w:rPr>
        <w:t>LICDA. JENNIFER ORTIZ RAMÍREZ</w:t>
      </w:r>
    </w:p>
    <w:p w14:paraId="09A705DE" w14:textId="77777777" w:rsidR="00C60A63" w:rsidRPr="00C11A59" w:rsidRDefault="00C60A63" w:rsidP="00C60A63">
      <w:pPr>
        <w:spacing w:line="240" w:lineRule="auto"/>
        <w:contextualSpacing/>
      </w:pPr>
      <w:r w:rsidRPr="00C11A59">
        <w:t>Encargada de la Oficina de Libre Acceso a la</w:t>
      </w:r>
    </w:p>
    <w:p w14:paraId="6798B8CA" w14:textId="77777777" w:rsidR="00C60A63" w:rsidRPr="00C11A59" w:rsidRDefault="00C60A63" w:rsidP="00C60A63">
      <w:pPr>
        <w:spacing w:line="240" w:lineRule="auto"/>
        <w:contextualSpacing/>
      </w:pPr>
      <w:r w:rsidRPr="00C11A59">
        <w:t>Información Pública.</w:t>
      </w:r>
    </w:p>
    <w:p w14:paraId="069A9A46" w14:textId="14EA5D27" w:rsidR="00C60A63" w:rsidRPr="00C11A59" w:rsidRDefault="00C60A63" w:rsidP="00C11A59">
      <w:pPr>
        <w:sectPr w:rsidR="00C60A63" w:rsidRPr="00C11A59" w:rsidSect="00C11A59">
          <w:type w:val="continuous"/>
          <w:pgSz w:w="12240" w:h="15840"/>
          <w:pgMar w:top="1417" w:right="1701" w:bottom="1417" w:left="1701" w:header="720" w:footer="720" w:gutter="0"/>
          <w:cols w:space="720"/>
          <w:docGrid w:type="lines" w:linePitch="360"/>
        </w:sectPr>
      </w:pPr>
    </w:p>
    <w:p w14:paraId="6A073F8E" w14:textId="68F5FE7D" w:rsidR="00C11A59" w:rsidRPr="00C11A59" w:rsidRDefault="00C11A59" w:rsidP="00C11A59"/>
    <w:p w14:paraId="1AB8E7F2" w14:textId="14412BAE" w:rsidR="00C11A59" w:rsidRDefault="00C11A59"/>
    <w:sectPr w:rsidR="00C11A5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C3F57"/>
    <w:multiLevelType w:val="hybridMultilevel"/>
    <w:tmpl w:val="20965C4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 w15:restartNumberingAfterBreak="0">
    <w:nsid w:val="39605813"/>
    <w:multiLevelType w:val="hybridMultilevel"/>
    <w:tmpl w:val="3A288E8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 w15:restartNumberingAfterBreak="0">
    <w:nsid w:val="59A42F2D"/>
    <w:multiLevelType w:val="hybridMultilevel"/>
    <w:tmpl w:val="F86267A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 w15:restartNumberingAfterBreak="0">
    <w:nsid w:val="5F7C6764"/>
    <w:multiLevelType w:val="multilevel"/>
    <w:tmpl w:val="58FC26E0"/>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num w:numId="1" w16cid:durableId="175427499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66994011">
    <w:abstractNumId w:val="2"/>
  </w:num>
  <w:num w:numId="3" w16cid:durableId="991173510">
    <w:abstractNumId w:val="0"/>
  </w:num>
  <w:num w:numId="4" w16cid:durableId="16456205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59"/>
    <w:rsid w:val="000523AE"/>
    <w:rsid w:val="00103A2C"/>
    <w:rsid w:val="002C6413"/>
    <w:rsid w:val="0031646E"/>
    <w:rsid w:val="003319E9"/>
    <w:rsid w:val="003940D9"/>
    <w:rsid w:val="006872F1"/>
    <w:rsid w:val="007E4E12"/>
    <w:rsid w:val="00B04C8E"/>
    <w:rsid w:val="00C11A59"/>
    <w:rsid w:val="00C60A63"/>
    <w:rsid w:val="00E121D0"/>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A5D43"/>
  <w15:chartTrackingRefBased/>
  <w15:docId w15:val="{2AD069CE-1F6A-44E8-AC0D-6FAA7C19A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D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11A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C11A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C11A5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C11A5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C11A5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C11A5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11A5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11A5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11A5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1A5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C11A5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C11A5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C11A5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C11A5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C11A5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11A5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11A5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11A59"/>
    <w:rPr>
      <w:rFonts w:eastAsiaTheme="majorEastAsia" w:cstheme="majorBidi"/>
      <w:color w:val="272727" w:themeColor="text1" w:themeTint="D8"/>
    </w:rPr>
  </w:style>
  <w:style w:type="paragraph" w:styleId="Ttulo">
    <w:name w:val="Title"/>
    <w:basedOn w:val="Normal"/>
    <w:next w:val="Normal"/>
    <w:link w:val="TtuloCar"/>
    <w:uiPriority w:val="10"/>
    <w:qFormat/>
    <w:rsid w:val="00C11A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1A5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11A5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11A5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11A59"/>
    <w:pPr>
      <w:spacing w:before="160"/>
      <w:jc w:val="center"/>
    </w:pPr>
    <w:rPr>
      <w:i/>
      <w:iCs/>
      <w:color w:val="404040" w:themeColor="text1" w:themeTint="BF"/>
    </w:rPr>
  </w:style>
  <w:style w:type="character" w:customStyle="1" w:styleId="CitaCar">
    <w:name w:val="Cita Car"/>
    <w:basedOn w:val="Fuentedeprrafopredeter"/>
    <w:link w:val="Cita"/>
    <w:uiPriority w:val="29"/>
    <w:rsid w:val="00C11A59"/>
    <w:rPr>
      <w:i/>
      <w:iCs/>
      <w:color w:val="404040" w:themeColor="text1" w:themeTint="BF"/>
    </w:rPr>
  </w:style>
  <w:style w:type="paragraph" w:styleId="Prrafodelista">
    <w:name w:val="List Paragraph"/>
    <w:basedOn w:val="Normal"/>
    <w:uiPriority w:val="34"/>
    <w:qFormat/>
    <w:rsid w:val="00C11A59"/>
    <w:pPr>
      <w:ind w:left="720"/>
      <w:contextualSpacing/>
    </w:pPr>
  </w:style>
  <w:style w:type="character" w:styleId="nfasisintenso">
    <w:name w:val="Intense Emphasis"/>
    <w:basedOn w:val="Fuentedeprrafopredeter"/>
    <w:uiPriority w:val="21"/>
    <w:qFormat/>
    <w:rsid w:val="00C11A59"/>
    <w:rPr>
      <w:i/>
      <w:iCs/>
      <w:color w:val="0F4761" w:themeColor="accent1" w:themeShade="BF"/>
    </w:rPr>
  </w:style>
  <w:style w:type="paragraph" w:styleId="Citadestacada">
    <w:name w:val="Intense Quote"/>
    <w:basedOn w:val="Normal"/>
    <w:next w:val="Normal"/>
    <w:link w:val="CitadestacadaCar"/>
    <w:uiPriority w:val="30"/>
    <w:qFormat/>
    <w:rsid w:val="00C11A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C11A59"/>
    <w:rPr>
      <w:i/>
      <w:iCs/>
      <w:color w:val="0F4761" w:themeColor="accent1" w:themeShade="BF"/>
    </w:rPr>
  </w:style>
  <w:style w:type="character" w:styleId="Referenciaintensa">
    <w:name w:val="Intense Reference"/>
    <w:basedOn w:val="Fuentedeprrafopredeter"/>
    <w:uiPriority w:val="32"/>
    <w:qFormat/>
    <w:rsid w:val="00C11A5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centrogastro-my.sharepoint.com/personal/oai_gastro_gob_do/Documents/Documentos/Copia%20de%20Linea%20311%20CARTA%20COMPROMISO%20QUEJAS%20Y%20SUGERENCIAS,%20MES%20DE%20SEPTIEMBRE%202024-.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centrogastro-my.sharepoint.com/personal/oai_gastro_gob_do/Documents/Documentos/Copia%20de%20Linea%20311%20CARTA%20COMPROMISO%20QUEJAS%20Y%20SUGERENCIAS,%20MES%20DE%20SEPTIEMBRE%202024-.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ES"/>
              <a:t>(SAIP) </a:t>
            </a:r>
          </a:p>
          <a:p>
            <a:pPr>
              <a:defRPr/>
            </a:pPr>
            <a:r>
              <a:rPr lang="es-ES"/>
              <a:t>Periodo enero/diciembre 2025</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S"/>
        </a:p>
      </c:txPr>
    </c:title>
    <c:autoTitleDeleted val="0"/>
    <c:plotArea>
      <c:layout>
        <c:manualLayout>
          <c:layoutTarget val="inner"/>
          <c:xMode val="edge"/>
          <c:yMode val="edge"/>
          <c:x val="6.8869117738235494E-2"/>
          <c:y val="0.21512925170068001"/>
          <c:w val="0.90225949118564897"/>
          <c:h val="0.68583255664470499"/>
        </c:manualLayout>
      </c:layout>
      <c:barChart>
        <c:barDir val="col"/>
        <c:grouping val="clustered"/>
        <c:varyColors val="0"/>
        <c:ser>
          <c:idx val="0"/>
          <c:order val="0"/>
          <c:spPr>
            <a:solidFill>
              <a:schemeClr val="accent1">
                <a:shade val="76000"/>
              </a:schemeClr>
            </a:solidFill>
            <a:ln>
              <a:noFill/>
            </a:ln>
            <a:effectLst/>
          </c:spPr>
          <c:invertIfNegative val="0"/>
          <c:dLbls>
            <c:dLbl>
              <c:idx val="1"/>
              <c:layout>
                <c:manualLayout>
                  <c:x val="0"/>
                  <c:y val="0.15277777777777801"/>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71C-44D5-86CD-BE08012C42E1}"/>
                </c:ext>
              </c:extLst>
            </c:dLbl>
            <c:dLbl>
              <c:idx val="2"/>
              <c:layout>
                <c:manualLayout>
                  <c:x val="0"/>
                  <c:y val="0.13888888888888901"/>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71C-44D5-86CD-BE08012C42E1}"/>
                </c:ext>
              </c:extLst>
            </c:dLbl>
            <c:dLbl>
              <c:idx val="3"/>
              <c:layout>
                <c:manualLayout>
                  <c:x val="5.5555555555555601E-3"/>
                  <c:y val="0.194444444444445"/>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71C-44D5-86CD-BE08012C42E1}"/>
                </c:ext>
              </c:extLst>
            </c:dLbl>
            <c:dLbl>
              <c:idx val="4"/>
              <c:layout>
                <c:manualLayout>
                  <c:x val="0"/>
                  <c:y val="0.16331412596413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71C-44D5-86CD-BE08012C42E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D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'Reporte 311'!$A$9:$A$13</c:f>
              <c:strCache>
                <c:ptCount val="5"/>
                <c:pt idx="0">
                  <c:v>Preguntas</c:v>
                </c:pt>
                <c:pt idx="1">
                  <c:v>Quejas</c:v>
                </c:pt>
                <c:pt idx="2">
                  <c:v>Reclamos</c:v>
                </c:pt>
                <c:pt idx="3">
                  <c:v>Denuncias</c:v>
                </c:pt>
                <c:pt idx="4">
                  <c:v>Sugerencias</c:v>
                </c:pt>
              </c:strCache>
            </c:strRef>
          </c:cat>
          <c:val>
            <c:numRef>
              <c:f>'Reporte 311'!$B$9:$B$13</c:f>
              <c:numCache>
                <c:formatCode>General</c:formatCode>
                <c:ptCount val="5"/>
                <c:pt idx="0">
                  <c:v>1</c:v>
                </c:pt>
                <c:pt idx="1">
                  <c:v>1</c:v>
                </c:pt>
                <c:pt idx="2">
                  <c:v>0</c:v>
                </c:pt>
                <c:pt idx="3">
                  <c:v>0</c:v>
                </c:pt>
                <c:pt idx="4">
                  <c:v>0</c:v>
                </c:pt>
              </c:numCache>
            </c:numRef>
          </c:val>
          <c:extLst>
            <c:ext xmlns:c16="http://schemas.microsoft.com/office/drawing/2014/chart" uri="{C3380CC4-5D6E-409C-BE32-E72D297353CC}">
              <c16:uniqueId val="{00000004-971C-44D5-86CD-BE08012C42E1}"/>
            </c:ext>
          </c:extLst>
        </c:ser>
        <c:ser>
          <c:idx val="1"/>
          <c:order val="1"/>
          <c:spPr>
            <a:solidFill>
              <a:schemeClr val="accent1">
                <a:tint val="77000"/>
              </a:schemeClr>
            </a:solidFill>
            <a:ln>
              <a:noFill/>
            </a:ln>
            <a:effectLst/>
          </c:spPr>
          <c:invertIfNegative val="0"/>
          <c:dLbls>
            <c:dLbl>
              <c:idx val="1"/>
              <c:layout>
                <c:manualLayout>
                  <c:x val="2.64408108122045E-2"/>
                  <c:y val="-3.4961836666968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71C-44D5-86CD-BE08012C42E1}"/>
                </c:ext>
              </c:extLst>
            </c:dLbl>
            <c:dLbl>
              <c:idx val="2"/>
              <c:layout>
                <c:manualLayout>
                  <c:x val="2.3821295422551601E-2"/>
                  <c:y val="-2.697961605374029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71C-44D5-86CD-BE08012C42E1}"/>
                </c:ext>
              </c:extLst>
            </c:dLbl>
            <c:dLbl>
              <c:idx val="3"/>
              <c:layout>
                <c:manualLayout>
                  <c:x val="2.38212954225515E-2"/>
                  <c:y val="-3.5759897828863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71C-44D5-86CD-BE08012C42E1}"/>
                </c:ext>
              </c:extLst>
            </c:dLbl>
            <c:dLbl>
              <c:idx val="4"/>
              <c:layout>
                <c:manualLayout>
                  <c:x val="3.2154448277462298E-2"/>
                  <c:y val="-5.9066179945896696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71C-44D5-86CD-BE08012C42E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D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'Reporte 311'!$A$9:$A$13</c:f>
              <c:strCache>
                <c:ptCount val="5"/>
                <c:pt idx="0">
                  <c:v>Preguntas</c:v>
                </c:pt>
                <c:pt idx="1">
                  <c:v>Quejas</c:v>
                </c:pt>
                <c:pt idx="2">
                  <c:v>Reclamos</c:v>
                </c:pt>
                <c:pt idx="3">
                  <c:v>Denuncias</c:v>
                </c:pt>
                <c:pt idx="4">
                  <c:v>Sugerencias</c:v>
                </c:pt>
              </c:strCache>
            </c:strRef>
          </c:cat>
          <c:val>
            <c:numRef>
              <c:f>'Reporte 311'!$C$9:$C$13</c:f>
              <c:numCache>
                <c:formatCode>0%</c:formatCode>
                <c:ptCount val="5"/>
                <c:pt idx="0">
                  <c:v>0.5</c:v>
                </c:pt>
                <c:pt idx="1">
                  <c:v>0.5</c:v>
                </c:pt>
                <c:pt idx="2">
                  <c:v>0</c:v>
                </c:pt>
                <c:pt idx="3">
                  <c:v>0</c:v>
                </c:pt>
                <c:pt idx="4">
                  <c:v>0</c:v>
                </c:pt>
              </c:numCache>
            </c:numRef>
          </c:val>
          <c:extLst>
            <c:ext xmlns:c16="http://schemas.microsoft.com/office/drawing/2014/chart" uri="{C3380CC4-5D6E-409C-BE32-E72D297353CC}">
              <c16:uniqueId val="{00000009-971C-44D5-86CD-BE08012C42E1}"/>
            </c:ext>
          </c:extLst>
        </c:ser>
        <c:dLbls>
          <c:showLegendKey val="0"/>
          <c:showVal val="1"/>
          <c:showCatName val="0"/>
          <c:showSerName val="0"/>
          <c:showPercent val="0"/>
          <c:showBubbleSize val="0"/>
        </c:dLbls>
        <c:gapWidth val="219"/>
        <c:overlap val="-27"/>
        <c:axId val="268606248"/>
        <c:axId val="268606640"/>
      </c:barChart>
      <c:catAx>
        <c:axId val="268606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DO"/>
          </a:p>
        </c:txPr>
        <c:crossAx val="268606640"/>
        <c:crosses val="autoZero"/>
        <c:auto val="1"/>
        <c:lblAlgn val="ctr"/>
        <c:lblOffset val="100"/>
        <c:noMultiLvlLbl val="0"/>
      </c:catAx>
      <c:valAx>
        <c:axId val="268606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DO"/>
          </a:p>
        </c:txPr>
        <c:crossAx val="268606248"/>
        <c:crosses val="autoZero"/>
        <c:crossBetween val="between"/>
      </c:valAx>
      <c:spPr>
        <a:noFill/>
        <a:ln>
          <a:noFill/>
        </a:ln>
        <a:effectLst/>
      </c:spPr>
    </c:plotArea>
    <c:plotVisOnly val="1"/>
    <c:dispBlanksAs val="gap"/>
    <c:showDLblsOverMax val="0"/>
    <c:extLst>
      <c:ext uri="{0b15fc19-7d7d-44ad-8c2d-2c3a37ce22c3}">
        <chartProps xmlns="https://web.wps.cn/et/2018/main" chartId="{37569efb-96b7-4b58-a2f7-23c4d6459ee3}"/>
      </c:ext>
    </c:extLst>
  </c:chart>
  <c:spPr>
    <a:solidFill>
      <a:schemeClr val="bg1"/>
    </a:solidFill>
    <a:ln w="9525" cap="flat" cmpd="sng" algn="ctr">
      <a:solidFill>
        <a:schemeClr val="tx1">
          <a:lumMod val="15000"/>
          <a:lumOff val="85000"/>
        </a:schemeClr>
      </a:solidFill>
      <a:round/>
    </a:ln>
    <a:effectLst/>
  </c:spPr>
  <c:txPr>
    <a:bodyPr/>
    <a:lstStyle/>
    <a:p>
      <a:pPr>
        <a:defRPr/>
      </a:pPr>
      <a:endParaRPr lang="es-D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sz="1400" b="1" i="0" u="none" strike="noStrike" kern="1200" cap="all" spc="150" baseline="0">
                <a:solidFill>
                  <a:schemeClr val="tx1">
                    <a:lumMod val="50000"/>
                    <a:lumOff val="50000"/>
                  </a:schemeClr>
                </a:solidFill>
                <a:latin typeface="+mn-lt"/>
                <a:ea typeface="+mn-ea"/>
                <a:cs typeface="+mn-cs"/>
              </a:defRPr>
            </a:pPr>
            <a:r>
              <a:rPr lang="en-US" sz="1400"/>
              <a:t>Informe de los Reportes (QDRS).</a:t>
            </a:r>
          </a:p>
          <a:p>
            <a:pPr>
              <a:defRPr sz="1400"/>
            </a:pPr>
            <a:r>
              <a:rPr lang="en-US" sz="1400"/>
              <a:t>( Periodo enero - diciembre 2025)</a:t>
            </a:r>
          </a:p>
        </c:rich>
      </c:tx>
      <c:layout>
        <c:manualLayout>
          <c:xMode val="edge"/>
          <c:yMode val="edge"/>
          <c:x val="4.0682236512696604E-2"/>
          <c:y val="0.13422818791946309"/>
        </c:manualLayout>
      </c:layout>
      <c:overlay val="0"/>
      <c:spPr>
        <a:noFill/>
        <a:ln>
          <a:noFill/>
        </a:ln>
        <a:effectLst/>
      </c:spPr>
      <c:txPr>
        <a:bodyPr rot="0" spcFirstLastPara="1" vertOverflow="ellipsis" vert="horz" wrap="square" anchor="ctr" anchorCtr="1"/>
        <a:lstStyle/>
        <a:p>
          <a:pPr>
            <a:defRPr sz="14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barChart>
        <c:barDir val="col"/>
        <c:grouping val="clustered"/>
        <c:varyColors val="0"/>
        <c:ser>
          <c:idx val="0"/>
          <c:order val="0"/>
          <c:spPr>
            <a:pattFill prst="narHorz">
              <a:fgClr>
                <a:schemeClr val="accent5">
                  <a:shade val="76000"/>
                </a:schemeClr>
              </a:fgClr>
              <a:bgClr>
                <a:schemeClr val="accent5">
                  <a:shade val="76000"/>
                  <a:lumMod val="20000"/>
                  <a:lumOff val="80000"/>
                </a:schemeClr>
              </a:bgClr>
            </a:pattFill>
            <a:ln>
              <a:noFill/>
            </a:ln>
            <a:effectLst>
              <a:innerShdw blurRad="114300">
                <a:schemeClr val="accent5">
                  <a:shade val="76000"/>
                </a:schemeClr>
              </a:innerShdw>
            </a:effectLst>
          </c:spPr>
          <c:invertIfNegative val="0"/>
          <c:dLbls>
            <c:dLbl>
              <c:idx val="0"/>
              <c:tx>
                <c:rich>
                  <a:bodyPr/>
                  <a:lstStyle/>
                  <a:p>
                    <a:r>
                      <a:rPr lang="en-US"/>
                      <a:t>0</a:t>
                    </a:r>
                  </a:p>
                  <a:p>
                    <a:endParaRPr lang="en-US"/>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0-AE84-4DA6-890F-6E1FE5430E05}"/>
                </c:ext>
              </c:extLst>
            </c:dLbl>
            <c:dLbl>
              <c:idx val="1"/>
              <c:layout>
                <c:manualLayout>
                  <c:x val="0"/>
                  <c:y val="0.15277777777777801"/>
                </c:manualLayout>
              </c:layout>
              <c:tx>
                <c:rich>
                  <a:bodyPr/>
                  <a:lstStyle/>
                  <a:p>
                    <a:r>
                      <a:rPr lang="en-US"/>
                      <a:t>1</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AE84-4DA6-890F-6E1FE5430E05}"/>
                </c:ext>
              </c:extLst>
            </c:dLbl>
            <c:dLbl>
              <c:idx val="2"/>
              <c:layout>
                <c:manualLayout>
                  <c:x val="0"/>
                  <c:y val="0.13888888888888901"/>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E84-4DA6-890F-6E1FE5430E05}"/>
                </c:ext>
              </c:extLst>
            </c:dLbl>
            <c:dLbl>
              <c:idx val="3"/>
              <c:layout>
                <c:manualLayout>
                  <c:x val="5.5555555555555601E-3"/>
                  <c:y val="0.194444444444445"/>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E84-4DA6-890F-6E1FE5430E05}"/>
                </c:ext>
              </c:extLst>
            </c:dLbl>
            <c:dLbl>
              <c:idx val="4"/>
              <c:layout>
                <c:manualLayout>
                  <c:x val="0"/>
                  <c:y val="0.163314125964139"/>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E84-4DA6-890F-6E1FE5430E0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D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'Reporte 311'!$A$9:$A$13</c:f>
              <c:strCache>
                <c:ptCount val="5"/>
                <c:pt idx="0">
                  <c:v>Preguntas</c:v>
                </c:pt>
                <c:pt idx="1">
                  <c:v>Quejas</c:v>
                </c:pt>
                <c:pt idx="2">
                  <c:v>Reclamos</c:v>
                </c:pt>
                <c:pt idx="3">
                  <c:v>Denuncias</c:v>
                </c:pt>
                <c:pt idx="4">
                  <c:v>Sugerencias</c:v>
                </c:pt>
              </c:strCache>
            </c:strRef>
          </c:cat>
          <c:val>
            <c:numRef>
              <c:f>'Reporte 311'!$B$9:$B$13</c:f>
              <c:numCache>
                <c:formatCode>General</c:formatCode>
                <c:ptCount val="5"/>
                <c:pt idx="0">
                  <c:v>1</c:v>
                </c:pt>
                <c:pt idx="1">
                  <c:v>1</c:v>
                </c:pt>
                <c:pt idx="2">
                  <c:v>0</c:v>
                </c:pt>
                <c:pt idx="3">
                  <c:v>0</c:v>
                </c:pt>
                <c:pt idx="4">
                  <c:v>0</c:v>
                </c:pt>
              </c:numCache>
            </c:numRef>
          </c:val>
          <c:extLst>
            <c:ext xmlns:c16="http://schemas.microsoft.com/office/drawing/2014/chart" uri="{C3380CC4-5D6E-409C-BE32-E72D297353CC}">
              <c16:uniqueId val="{00000005-AE84-4DA6-890F-6E1FE5430E05}"/>
            </c:ext>
          </c:extLst>
        </c:ser>
        <c:ser>
          <c:idx val="1"/>
          <c:order val="1"/>
          <c:spPr>
            <a:pattFill prst="narHorz">
              <a:fgClr>
                <a:schemeClr val="accent5">
                  <a:tint val="77000"/>
                </a:schemeClr>
              </a:fgClr>
              <a:bgClr>
                <a:schemeClr val="accent5">
                  <a:tint val="77000"/>
                  <a:lumMod val="20000"/>
                  <a:lumOff val="80000"/>
                </a:schemeClr>
              </a:bgClr>
            </a:pattFill>
            <a:ln>
              <a:noFill/>
            </a:ln>
            <a:effectLst>
              <a:innerShdw blurRad="114300">
                <a:schemeClr val="accent5">
                  <a:tint val="77000"/>
                </a:schemeClr>
              </a:innerShdw>
            </a:effectLst>
          </c:spPr>
          <c:invertIfNegative val="0"/>
          <c:dLbls>
            <c:dLbl>
              <c:idx val="1"/>
              <c:layout>
                <c:manualLayout>
                  <c:x val="2.64408108122045E-2"/>
                  <c:y val="-3.4961836666968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E84-4DA6-890F-6E1FE5430E05}"/>
                </c:ext>
              </c:extLst>
            </c:dLbl>
            <c:dLbl>
              <c:idx val="2"/>
              <c:layout>
                <c:manualLayout>
                  <c:x val="2.3821295422551601E-2"/>
                  <c:y val="-2.697961605374029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E84-4DA6-890F-6E1FE5430E05}"/>
                </c:ext>
              </c:extLst>
            </c:dLbl>
            <c:dLbl>
              <c:idx val="3"/>
              <c:layout>
                <c:manualLayout>
                  <c:x val="2.38212954225515E-2"/>
                  <c:y val="-3.5759897828863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AE84-4DA6-890F-6E1FE5430E05}"/>
                </c:ext>
              </c:extLst>
            </c:dLbl>
            <c:dLbl>
              <c:idx val="4"/>
              <c:layout>
                <c:manualLayout>
                  <c:x val="3.2154448277462298E-2"/>
                  <c:y val="-5.9066179945896696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AE84-4DA6-890F-6E1FE5430E0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D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'Reporte 311'!$A$9:$A$13</c:f>
              <c:strCache>
                <c:ptCount val="5"/>
                <c:pt idx="0">
                  <c:v>Preguntas</c:v>
                </c:pt>
                <c:pt idx="1">
                  <c:v>Quejas</c:v>
                </c:pt>
                <c:pt idx="2">
                  <c:v>Reclamos</c:v>
                </c:pt>
                <c:pt idx="3">
                  <c:v>Denuncias</c:v>
                </c:pt>
                <c:pt idx="4">
                  <c:v>Sugerencias</c:v>
                </c:pt>
              </c:strCache>
            </c:strRef>
          </c:cat>
          <c:val>
            <c:numRef>
              <c:f>'Reporte 311'!$C$9:$C$13</c:f>
              <c:numCache>
                <c:formatCode>0%</c:formatCode>
                <c:ptCount val="5"/>
                <c:pt idx="0">
                  <c:v>0.5</c:v>
                </c:pt>
                <c:pt idx="1">
                  <c:v>0.5</c:v>
                </c:pt>
                <c:pt idx="2">
                  <c:v>0</c:v>
                </c:pt>
                <c:pt idx="3">
                  <c:v>0</c:v>
                </c:pt>
                <c:pt idx="4">
                  <c:v>0</c:v>
                </c:pt>
              </c:numCache>
            </c:numRef>
          </c:val>
          <c:extLst>
            <c:ext xmlns:c16="http://schemas.microsoft.com/office/drawing/2014/chart" uri="{C3380CC4-5D6E-409C-BE32-E72D297353CC}">
              <c16:uniqueId val="{0000000A-AE84-4DA6-890F-6E1FE5430E05}"/>
            </c:ext>
          </c:extLst>
        </c:ser>
        <c:dLbls>
          <c:showLegendKey val="0"/>
          <c:showVal val="1"/>
          <c:showCatName val="0"/>
          <c:showSerName val="0"/>
          <c:showPercent val="0"/>
          <c:showBubbleSize val="0"/>
        </c:dLbls>
        <c:gapWidth val="164"/>
        <c:overlap val="-22"/>
        <c:axId val="268606248"/>
        <c:axId val="268606640"/>
      </c:barChart>
      <c:catAx>
        <c:axId val="268606248"/>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DO"/>
          </a:p>
        </c:txPr>
        <c:crossAx val="268606640"/>
        <c:crosses val="autoZero"/>
        <c:auto val="1"/>
        <c:lblAlgn val="ctr"/>
        <c:lblOffset val="100"/>
        <c:noMultiLvlLbl val="0"/>
      </c:catAx>
      <c:valAx>
        <c:axId val="268606640"/>
        <c:scaling>
          <c:orientation val="minMax"/>
          <c:max val="2"/>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DO"/>
          </a:p>
        </c:txPr>
        <c:crossAx val="268606248"/>
        <c:crosses val="autoZero"/>
        <c:crossBetween val="between"/>
        <c:majorUnit val="2"/>
      </c:valAx>
      <c:spPr>
        <a:noFill/>
        <a:ln>
          <a:noFill/>
        </a:ln>
        <a:effectLst/>
      </c:spPr>
    </c:plotArea>
    <c:plotVisOnly val="1"/>
    <c:dispBlanksAs val="gap"/>
    <c:showDLblsOverMax val="0"/>
    <c:extLst>
      <c:ext uri="{0b15fc19-7d7d-44ad-8c2d-2c3a37ce22c3}">
        <chartProps xmlns="https://web.wps.cn/et/2018/main" chartId="{dfa3f4d8-5290-4355-ac10-99bbad776ca8}"/>
      </c:ext>
    </c:extLst>
  </c:chart>
  <c:spPr>
    <a:solidFill>
      <a:schemeClr val="bg1"/>
    </a:solidFill>
    <a:ln w="9525" cap="flat" cmpd="sng" algn="ctr">
      <a:solidFill>
        <a:schemeClr val="tx1">
          <a:lumMod val="15000"/>
          <a:lumOff val="85000"/>
        </a:schemeClr>
      </a:solidFill>
      <a:round/>
    </a:ln>
    <a:effectLst/>
  </c:spPr>
  <c:txPr>
    <a:bodyPr/>
    <a:lstStyle/>
    <a:p>
      <a:pPr>
        <a:defRPr/>
      </a:pPr>
      <a:endParaRPr lang="es-DO"/>
    </a:p>
  </c:txPr>
  <c:externalData r:id="rId3">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colors2.xml><?xml version="1.0" encoding="utf-8"?>
<cs:colorStyle xmlns:cs="http://schemas.microsoft.com/office/drawing/2012/chartStyle" xmlns:a="http://schemas.openxmlformats.org/drawingml/2006/main" meth="withinLinear" id="18">
  <a:schemeClr val="accent5"/>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7</Pages>
  <Words>979</Words>
  <Characters>5644</Characters>
  <Application>Microsoft Office Word</Application>
  <DocSecurity>0</DocSecurity>
  <Lines>99</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OAI Centro de Gastroenteologia CSDLEA</dc:creator>
  <cp:keywords/>
  <dc:description/>
  <cp:lastModifiedBy>OAI Centro de Gastroenteologia CSDLEA</cp:lastModifiedBy>
  <cp:revision>1</cp:revision>
  <dcterms:created xsi:type="dcterms:W3CDTF">2025-12-30T16:52:00Z</dcterms:created>
  <dcterms:modified xsi:type="dcterms:W3CDTF">2025-12-30T19:03:00Z</dcterms:modified>
</cp:coreProperties>
</file>